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color w:val="010302"/>
          <w:u w:val="single"/>
        </w:rPr>
      </w:pPr>
      <w:r>
        <w:rPr>
          <w:b/>
          <w:bCs/>
          <w:color w:val="000000"/>
          <w:sz w:val="24"/>
          <w:szCs w:val="24"/>
          <w:u w:val="single"/>
        </w:rPr>
        <w:t>TAO X</w:t>
      </w:r>
      <w:r>
        <w:rPr>
          <w:rFonts w:hint="eastAsia"/>
          <w:b/>
          <w:bCs/>
          <w:color w:val="000000"/>
          <w:sz w:val="24"/>
          <w:szCs w:val="24"/>
          <w:u w:val="single"/>
          <w:lang w:eastAsia="zh-CN"/>
        </w:rPr>
        <w:t>iaohui</w:t>
      </w:r>
    </w:p>
    <w:p>
      <w:pPr>
        <w:spacing w:line="276" w:lineRule="auto"/>
        <w:jc w:val="center"/>
        <w:rPr>
          <w:rFonts w:eastAsia="宋体"/>
          <w:b/>
          <w:i/>
          <w:sz w:val="24"/>
          <w:szCs w:val="24"/>
        </w:rPr>
      </w:pPr>
    </w:p>
    <w:p>
      <w:pPr>
        <w:spacing w:line="276" w:lineRule="auto"/>
        <w:ind w:right="-1030"/>
        <w:jc w:val="both"/>
        <w:rPr>
          <w:sz w:val="24"/>
          <w:szCs w:val="24"/>
        </w:rPr>
      </w:pPr>
    </w:p>
    <w:p>
      <w:pPr>
        <w:spacing w:line="276" w:lineRule="auto"/>
        <w:ind w:right="-1030"/>
        <w:jc w:val="both"/>
        <w:rPr>
          <w:b/>
          <w:bCs/>
          <w:color w:val="000000"/>
          <w:sz w:val="24"/>
          <w:szCs w:val="24"/>
        </w:rPr>
      </w:pPr>
      <w:r>
        <w:rPr>
          <w:b/>
          <w:sz w:val="24"/>
          <w:szCs w:val="24"/>
        </w:rPr>
        <w:t xml:space="preserve">Academic qualifications: </w:t>
      </w:r>
    </w:p>
    <w:tbl>
      <w:tblPr>
        <w:tblStyle w:val="2"/>
        <w:tblW w:w="0" w:type="auto"/>
        <w:tblInd w:w="-142" w:type="dxa"/>
        <w:tblLayout w:type="autofit"/>
        <w:tblCellMar>
          <w:top w:w="0" w:type="dxa"/>
          <w:left w:w="108" w:type="dxa"/>
          <w:bottom w:w="0" w:type="dxa"/>
          <w:right w:w="108" w:type="dxa"/>
        </w:tblCellMar>
      </w:tblPr>
      <w:tblGrid>
        <w:gridCol w:w="1702"/>
        <w:gridCol w:w="8363"/>
      </w:tblGrid>
      <w:tr>
        <w:trPr>
          <w:trHeight w:val="605" w:hRule="atLeast"/>
        </w:trPr>
        <w:tc>
          <w:tcPr>
            <w:tcW w:w="1702" w:type="dxa"/>
          </w:tcPr>
          <w:p>
            <w:pPr>
              <w:spacing w:line="276" w:lineRule="auto"/>
              <w:jc w:val="both"/>
              <w:rPr>
                <w:rFonts w:eastAsia="宋体"/>
                <w:sz w:val="24"/>
                <w:szCs w:val="24"/>
              </w:rPr>
            </w:pPr>
            <w:r>
              <w:rPr>
                <w:color w:val="000000"/>
                <w:sz w:val="24"/>
                <w:szCs w:val="24"/>
              </w:rPr>
              <w:t>2019.9-2022.7</w:t>
            </w:r>
          </w:p>
        </w:tc>
        <w:tc>
          <w:tcPr>
            <w:tcW w:w="8363" w:type="dxa"/>
          </w:tcPr>
          <w:p>
            <w:pPr>
              <w:spacing w:line="276" w:lineRule="auto"/>
              <w:rPr>
                <w:rFonts w:eastAsia="宋体"/>
                <w:lang w:eastAsia="zh-CN"/>
              </w:rPr>
            </w:pPr>
            <w:r>
              <w:rPr>
                <w:sz w:val="24"/>
                <w:szCs w:val="24"/>
              </w:rPr>
              <w:t xml:space="preserve">B.Med., First College of Clinical and Information Engineering, </w:t>
            </w:r>
            <w:r>
              <w:rPr>
                <w:rFonts w:ascii="Times New Roman Regular" w:hAnsi="Times New Roman Regular"/>
                <w:sz w:val="24"/>
                <w:szCs w:val="24"/>
              </w:rPr>
              <w:t>Wenzhou Medical University</w:t>
            </w:r>
            <w:r>
              <w:rPr>
                <w:color w:val="000000"/>
                <w:sz w:val="24"/>
                <w:szCs w:val="24"/>
              </w:rPr>
              <w:t>, Z</w:t>
            </w:r>
            <w:r>
              <w:rPr>
                <w:rFonts w:hint="eastAsia"/>
                <w:color w:val="000000"/>
                <w:sz w:val="24"/>
                <w:szCs w:val="24"/>
                <w:lang w:eastAsia="zh-CN"/>
              </w:rPr>
              <w:t>hejiang</w:t>
            </w:r>
            <w:r>
              <w:rPr>
                <w:color w:val="000000"/>
                <w:sz w:val="24"/>
                <w:szCs w:val="24"/>
              </w:rPr>
              <w:t xml:space="preserve">, China  </w:t>
            </w:r>
          </w:p>
        </w:tc>
      </w:tr>
      <w:tr>
        <w:trPr>
          <w:trHeight w:val="400" w:hRule="atLeast"/>
        </w:trPr>
        <w:tc>
          <w:tcPr>
            <w:tcW w:w="1702" w:type="dxa"/>
          </w:tcPr>
          <w:p>
            <w:pPr>
              <w:spacing w:line="276" w:lineRule="auto"/>
              <w:jc w:val="both"/>
              <w:rPr>
                <w:rFonts w:eastAsia="宋体"/>
                <w:sz w:val="24"/>
                <w:szCs w:val="24"/>
              </w:rPr>
            </w:pPr>
            <w:r>
              <w:rPr>
                <w:color w:val="000000"/>
                <w:sz w:val="24"/>
                <w:szCs w:val="24"/>
              </w:rPr>
              <w:t>2019.9-2022.7</w:t>
            </w:r>
          </w:p>
        </w:tc>
        <w:tc>
          <w:tcPr>
            <w:tcW w:w="8363" w:type="dxa"/>
          </w:tcPr>
          <w:p>
            <w:pPr>
              <w:spacing w:line="276" w:lineRule="auto"/>
              <w:rPr>
                <w:rFonts w:eastAsia="宋体"/>
                <w:lang w:eastAsia="zh-CN"/>
              </w:rPr>
            </w:pPr>
            <w:r>
              <w:rPr>
                <w:sz w:val="24"/>
                <w:szCs w:val="24"/>
              </w:rPr>
              <w:t xml:space="preserve">M.Med., </w:t>
            </w:r>
            <w:r>
              <w:rPr>
                <w:rFonts w:ascii="Times New Roman Regular" w:hAnsi="Times New Roman Regular"/>
                <w:sz w:val="24"/>
                <w:szCs w:val="24"/>
              </w:rPr>
              <w:t>Medical College of Shanghai Jiaotong University</w:t>
            </w:r>
            <w:r>
              <w:rPr>
                <w:color w:val="000000"/>
                <w:sz w:val="24"/>
                <w:szCs w:val="24"/>
              </w:rPr>
              <w:t>, S</w:t>
            </w:r>
            <w:r>
              <w:rPr>
                <w:rFonts w:hint="eastAsia"/>
                <w:color w:val="000000"/>
                <w:sz w:val="24"/>
                <w:szCs w:val="24"/>
                <w:lang w:eastAsia="zh-CN"/>
              </w:rPr>
              <w:t>hanghai</w:t>
            </w:r>
            <w:r>
              <w:rPr>
                <w:color w:val="000000"/>
                <w:sz w:val="24"/>
                <w:szCs w:val="24"/>
                <w:lang w:eastAsia="zh-CN"/>
              </w:rPr>
              <w:t xml:space="preserve">, </w:t>
            </w:r>
            <w:r>
              <w:rPr>
                <w:color w:val="000000"/>
                <w:sz w:val="24"/>
                <w:szCs w:val="24"/>
              </w:rPr>
              <w:t xml:space="preserve">China  </w:t>
            </w:r>
          </w:p>
        </w:tc>
      </w:tr>
      <w:tr>
        <w:trPr>
          <w:trHeight w:val="307" w:hRule="atLeast"/>
        </w:trPr>
        <w:tc>
          <w:tcPr>
            <w:tcW w:w="1702" w:type="dxa"/>
          </w:tcPr>
          <w:p>
            <w:pPr>
              <w:spacing w:line="276" w:lineRule="auto"/>
              <w:jc w:val="both"/>
              <w:rPr>
                <w:rFonts w:eastAsia="宋体"/>
                <w:sz w:val="24"/>
                <w:szCs w:val="24"/>
              </w:rPr>
            </w:pPr>
            <w:r>
              <w:rPr>
                <w:rFonts w:eastAsia="宋体"/>
                <w:sz w:val="24"/>
                <w:szCs w:val="24"/>
              </w:rPr>
              <w:t>2022.9-</w:t>
            </w:r>
            <w:r>
              <w:rPr>
                <w:rFonts w:hint="eastAsia" w:eastAsia="宋体"/>
                <w:sz w:val="24"/>
                <w:szCs w:val="24"/>
                <w:lang w:eastAsia="zh-CN"/>
              </w:rPr>
              <w:t>now</w:t>
            </w:r>
          </w:p>
        </w:tc>
        <w:tc>
          <w:tcPr>
            <w:tcW w:w="8363" w:type="dxa"/>
          </w:tcPr>
          <w:p>
            <w:pPr>
              <w:spacing w:line="276" w:lineRule="auto"/>
              <w:ind w:left="38"/>
              <w:jc w:val="both"/>
              <w:rPr>
                <w:color w:val="000000"/>
                <w:sz w:val="24"/>
                <w:szCs w:val="24"/>
              </w:rPr>
            </w:pPr>
            <w:r>
              <w:rPr>
                <w:sz w:val="24"/>
                <w:szCs w:val="24"/>
              </w:rPr>
              <w:t>P</w:t>
            </w:r>
            <w:r>
              <w:rPr>
                <w:rFonts w:hint="eastAsia"/>
                <w:sz w:val="24"/>
                <w:szCs w:val="24"/>
                <w:lang w:eastAsia="zh-CN"/>
              </w:rPr>
              <w:t>hD</w:t>
            </w:r>
            <w:r>
              <w:rPr>
                <w:sz w:val="24"/>
                <w:szCs w:val="24"/>
                <w:lang w:eastAsia="zh-CN"/>
              </w:rPr>
              <w:t xml:space="preserve"> </w:t>
            </w:r>
            <w:r>
              <w:rPr>
                <w:rFonts w:hint="eastAsia"/>
                <w:sz w:val="24"/>
                <w:szCs w:val="24"/>
                <w:lang w:eastAsia="zh-CN"/>
              </w:rPr>
              <w:t>candidate</w:t>
            </w:r>
            <w:r>
              <w:rPr>
                <w:sz w:val="24"/>
                <w:szCs w:val="24"/>
              </w:rPr>
              <w:t xml:space="preserve">, Institute for Advancing Translational Medicine in Bone &amp; Joint Diseases, Hong Kong Baptist University, </w:t>
            </w:r>
            <w:r>
              <w:rPr>
                <w:color w:val="000000"/>
                <w:sz w:val="24"/>
                <w:szCs w:val="24"/>
              </w:rPr>
              <w:t xml:space="preserve">Hong Kong, China   </w:t>
            </w:r>
          </w:p>
        </w:tc>
      </w:tr>
    </w:tbl>
    <w:p>
      <w:pPr>
        <w:spacing w:line="276" w:lineRule="auto"/>
        <w:jc w:val="both"/>
        <w:rPr>
          <w:rFonts w:eastAsia="宋体"/>
          <w:sz w:val="24"/>
          <w:szCs w:val="24"/>
        </w:rPr>
      </w:pPr>
    </w:p>
    <w:p>
      <w:pPr>
        <w:spacing w:line="276" w:lineRule="auto"/>
        <w:ind w:right="631"/>
        <w:jc w:val="both"/>
        <w:rPr>
          <w:rFonts w:eastAsia="宋体"/>
          <w:sz w:val="24"/>
          <w:szCs w:val="24"/>
        </w:rPr>
      </w:pPr>
      <w:bookmarkStart w:id="1" w:name="_GoBack"/>
      <w:bookmarkEnd w:id="1"/>
      <w:r>
        <w:rPr>
          <w:b/>
          <w:bCs/>
          <w:color w:val="000000"/>
          <w:sz w:val="24"/>
          <w:szCs w:val="24"/>
        </w:rPr>
        <w:t xml:space="preserve">  </w:t>
      </w:r>
    </w:p>
    <w:p>
      <w:pPr>
        <w:spacing w:line="276" w:lineRule="auto"/>
        <w:jc w:val="both"/>
        <w:rPr>
          <w:sz w:val="24"/>
          <w:szCs w:val="24"/>
          <w:lang w:val="en-GB"/>
        </w:rPr>
      </w:pPr>
      <w:r>
        <w:rPr>
          <w:b/>
          <w:bCs/>
          <w:color w:val="000000"/>
          <w:sz w:val="24"/>
          <w:szCs w:val="24"/>
        </w:rPr>
        <w:t>Publication records</w:t>
      </w:r>
      <w:r>
        <w:rPr>
          <w:sz w:val="24"/>
          <w:szCs w:val="24"/>
          <w:lang w:val="en-GB"/>
        </w:rPr>
        <w:t xml:space="preserve">: </w:t>
      </w:r>
    </w:p>
    <w:p>
      <w:pPr>
        <w:spacing w:line="276" w:lineRule="auto"/>
        <w:jc w:val="both"/>
        <w:rPr>
          <w:b/>
          <w:sz w:val="24"/>
          <w:szCs w:val="24"/>
          <w:lang w:val="en-GB"/>
        </w:rPr>
      </w:pPr>
      <w:r>
        <w:rPr>
          <w:b/>
          <w:sz w:val="24"/>
          <w:szCs w:val="24"/>
          <w:lang w:val="en-GB"/>
        </w:rPr>
        <w:t>Five most representative publications in the recent five years</w:t>
      </w:r>
    </w:p>
    <w:p>
      <w:pPr>
        <w:pStyle w:val="6"/>
        <w:numPr>
          <w:ilvl w:val="0"/>
          <w:numId w:val="1"/>
        </w:numPr>
        <w:spacing w:line="276" w:lineRule="auto"/>
        <w:jc w:val="both"/>
        <w:rPr>
          <w:sz w:val="24"/>
          <w:szCs w:val="24"/>
        </w:rPr>
      </w:pPr>
      <w:bookmarkStart w:id="0" w:name="_Hlk70096538"/>
      <w:r>
        <w:rPr>
          <w:b/>
          <w:bCs/>
          <w:sz w:val="24"/>
          <w:szCs w:val="24"/>
          <w:u w:val="single"/>
        </w:rPr>
        <w:t>Tao X</w:t>
      </w:r>
      <w:r>
        <w:rPr>
          <w:sz w:val="24"/>
          <w:szCs w:val="24"/>
        </w:rPr>
        <w:t xml:space="preserve">, Xu T, Lin X, Xu S, Fan Y, Guo B, Deng X, Jiao Q, Chen L, Wei Z, Chen C, Yang W, Zhang Z, Yu X, Yue H. Genomic profiling reveals the variant landscape of sporadic parathyroid adenomas in Chinese population. </w:t>
      </w:r>
      <w:r>
        <w:rPr>
          <w:b/>
          <w:bCs/>
          <w:i/>
          <w:iCs/>
          <w:color w:val="000000"/>
          <w:sz w:val="24"/>
          <w:szCs w:val="24"/>
        </w:rPr>
        <w:t>J Clin Endocrinol Metab</w:t>
      </w:r>
      <w:r>
        <w:rPr>
          <w:i/>
          <w:iCs/>
          <w:color w:val="000000"/>
          <w:sz w:val="24"/>
          <w:szCs w:val="24"/>
        </w:rPr>
        <w:t xml:space="preserve">. </w:t>
      </w:r>
      <w:r>
        <w:rPr>
          <w:sz w:val="24"/>
          <w:szCs w:val="24"/>
        </w:rPr>
        <w:t>2023 Jan 6:dgad002.</w:t>
      </w:r>
      <w:r>
        <w:rPr>
          <w:bCs/>
          <w:sz w:val="24"/>
          <w:szCs w:val="24"/>
        </w:rPr>
        <w:t xml:space="preserve"> (</w:t>
      </w:r>
      <w:r>
        <w:rPr>
          <w:b/>
          <w:bCs/>
          <w:sz w:val="24"/>
          <w:szCs w:val="24"/>
        </w:rPr>
        <w:t>IF</w:t>
      </w:r>
      <w:r>
        <w:rPr>
          <w:bCs/>
          <w:sz w:val="24"/>
          <w:szCs w:val="24"/>
        </w:rPr>
        <w:t>:6.13)</w:t>
      </w:r>
      <w:bookmarkEnd w:id="0"/>
      <w:r>
        <w:rPr>
          <w:b/>
          <w:iCs/>
          <w:sz w:val="24"/>
          <w:szCs w:val="24"/>
        </w:rPr>
        <w:t xml:space="preserve"> </w:t>
      </w:r>
    </w:p>
    <w:p>
      <w:pPr>
        <w:pStyle w:val="6"/>
        <w:numPr>
          <w:ilvl w:val="0"/>
          <w:numId w:val="1"/>
        </w:numPr>
        <w:spacing w:line="276" w:lineRule="auto"/>
        <w:jc w:val="both"/>
        <w:rPr>
          <w:sz w:val="24"/>
          <w:szCs w:val="24"/>
        </w:rPr>
      </w:pPr>
      <w:r>
        <w:rPr>
          <w:b/>
          <w:bCs/>
          <w:sz w:val="24"/>
          <w:szCs w:val="24"/>
          <w:u w:val="single"/>
        </w:rPr>
        <w:t>Tao X</w:t>
      </w:r>
      <w:r>
        <w:rPr>
          <w:sz w:val="24"/>
          <w:szCs w:val="24"/>
        </w:rPr>
        <w:t xml:space="preserve">, Liu L, Yang X, Wei Z, Chen Z, Zhang G, Zhang Z, Yue H. Clinical Characteristics and Pathogenic Gene Identification in Chinese Patients With Paget's Disease of Bone. </w:t>
      </w:r>
      <w:r>
        <w:rPr>
          <w:b/>
          <w:bCs/>
          <w:i/>
          <w:iCs/>
          <w:color w:val="000000"/>
          <w:sz w:val="24"/>
          <w:szCs w:val="24"/>
        </w:rPr>
        <w:t>Front Endocrinol (Lausanne).</w:t>
      </w:r>
      <w:r>
        <w:rPr>
          <w:sz w:val="24"/>
          <w:szCs w:val="24"/>
        </w:rPr>
        <w:t xml:space="preserve"> 2022 Mar 9;13:850462. (</w:t>
      </w:r>
      <w:r>
        <w:rPr>
          <w:b/>
          <w:bCs/>
          <w:sz w:val="24"/>
          <w:szCs w:val="24"/>
        </w:rPr>
        <w:t>IF</w:t>
      </w:r>
      <w:r>
        <w:rPr>
          <w:sz w:val="24"/>
          <w:szCs w:val="24"/>
        </w:rPr>
        <w:t>:6.05)</w:t>
      </w:r>
    </w:p>
    <w:p>
      <w:pPr>
        <w:pStyle w:val="6"/>
        <w:numPr>
          <w:ilvl w:val="0"/>
          <w:numId w:val="1"/>
        </w:numPr>
        <w:spacing w:line="276" w:lineRule="auto"/>
        <w:jc w:val="both"/>
      </w:pPr>
      <w:r>
        <w:rPr>
          <w:b/>
          <w:bCs/>
          <w:sz w:val="24"/>
          <w:szCs w:val="24"/>
          <w:u w:val="single"/>
        </w:rPr>
        <w:t>Tao X</w:t>
      </w:r>
      <w:r>
        <w:rPr>
          <w:sz w:val="24"/>
          <w:szCs w:val="24"/>
        </w:rPr>
        <w:t xml:space="preserve">, Yang X, Wang Z, Xu Y, Lin X, Xu T, Zhang Z, Yue H. Clinical characteristics and identification of a novel TGFB1 variant in three unrelated Chinese families with Camurati-Engelmann disease. </w:t>
      </w:r>
      <w:r>
        <w:rPr>
          <w:b/>
          <w:bCs/>
          <w:i/>
          <w:iCs/>
          <w:color w:val="000000"/>
          <w:sz w:val="24"/>
          <w:szCs w:val="24"/>
        </w:rPr>
        <w:t>Mol Genet Genomic Med.</w:t>
      </w:r>
      <w:r>
        <w:rPr>
          <w:sz w:val="24"/>
          <w:szCs w:val="24"/>
        </w:rPr>
        <w:t xml:space="preserve"> 2022 May;10(5):e1922.</w:t>
      </w:r>
    </w:p>
    <w:p>
      <w:pPr>
        <w:pStyle w:val="6"/>
        <w:numPr>
          <w:ilvl w:val="0"/>
          <w:numId w:val="1"/>
        </w:numPr>
        <w:spacing w:line="276" w:lineRule="auto"/>
        <w:jc w:val="both"/>
        <w:rPr>
          <w:sz w:val="24"/>
          <w:szCs w:val="24"/>
        </w:rPr>
      </w:pPr>
      <w:r>
        <w:rPr>
          <w:b/>
          <w:bCs/>
          <w:sz w:val="24"/>
          <w:szCs w:val="24"/>
          <w:u w:val="single"/>
        </w:rPr>
        <w:t>Tao X</w:t>
      </w:r>
      <w:r>
        <w:rPr>
          <w:b/>
          <w:bCs/>
          <w:sz w:val="24"/>
          <w:szCs w:val="24"/>
        </w:rPr>
        <w:t>,</w:t>
      </w:r>
      <w:r>
        <w:rPr>
          <w:sz w:val="24"/>
          <w:szCs w:val="24"/>
        </w:rPr>
        <w:t xml:space="preserve"> Xu T, Liu L, Lin X, Zhang Z, Yue H. Case report: Clinical characteristics and treatment of secondary osteoporosis induced by X-linked congenital adrenal dysplasia. </w:t>
      </w:r>
      <w:r>
        <w:rPr>
          <w:b/>
          <w:bCs/>
          <w:i/>
          <w:iCs/>
          <w:color w:val="000000"/>
          <w:sz w:val="24"/>
          <w:szCs w:val="24"/>
        </w:rPr>
        <w:t>Front Endocrinol (Lausanne).</w:t>
      </w:r>
      <w:r>
        <w:rPr>
          <w:sz w:val="24"/>
          <w:szCs w:val="24"/>
        </w:rPr>
        <w:t xml:space="preserve"> 2022 Dec 8;13:961322. (</w:t>
      </w:r>
      <w:r>
        <w:rPr>
          <w:b/>
          <w:bCs/>
          <w:sz w:val="24"/>
          <w:szCs w:val="24"/>
        </w:rPr>
        <w:t>IF</w:t>
      </w:r>
      <w:r>
        <w:rPr>
          <w:sz w:val="24"/>
          <w:szCs w:val="24"/>
        </w:rPr>
        <w:t>:6.05)</w:t>
      </w:r>
    </w:p>
    <w:p>
      <w:pPr>
        <w:pStyle w:val="6"/>
        <w:numPr>
          <w:ilvl w:val="0"/>
          <w:numId w:val="1"/>
        </w:numPr>
        <w:spacing w:line="276" w:lineRule="auto"/>
        <w:jc w:val="both"/>
        <w:rPr>
          <w:sz w:val="24"/>
          <w:szCs w:val="24"/>
        </w:rPr>
      </w:pPr>
      <w:r>
        <w:rPr>
          <w:sz w:val="24"/>
          <w:szCs w:val="24"/>
        </w:rPr>
        <w:t xml:space="preserve">Wei Z, Li S, </w:t>
      </w:r>
      <w:r>
        <w:rPr>
          <w:b/>
          <w:bCs/>
          <w:sz w:val="24"/>
          <w:szCs w:val="24"/>
          <w:u w:val="single"/>
        </w:rPr>
        <w:t>Tao X</w:t>
      </w:r>
      <w:r>
        <w:rPr>
          <w:sz w:val="24"/>
          <w:szCs w:val="24"/>
          <w:u w:val="single"/>
        </w:rPr>
        <w:t>,</w:t>
      </w:r>
      <w:r>
        <w:rPr>
          <w:sz w:val="24"/>
          <w:szCs w:val="24"/>
        </w:rPr>
        <w:t xml:space="preserve"> Zhu G, Sun Z, Wei Z, Jiao Q, Zhang H, Chen L, Li B, Zhang Z, Yue H. Mutations in Profilin 1 Cause Early-Onset Paget's Disease of Bone With Giant Cell Tumors. </w:t>
      </w:r>
      <w:r>
        <w:rPr>
          <w:b/>
          <w:bCs/>
          <w:i/>
          <w:iCs/>
          <w:color w:val="000000"/>
          <w:sz w:val="24"/>
          <w:szCs w:val="24"/>
        </w:rPr>
        <w:t>J Bone Miner Res</w:t>
      </w:r>
      <w:r>
        <w:rPr>
          <w:sz w:val="24"/>
          <w:szCs w:val="24"/>
        </w:rPr>
        <w:t>. 2021 Jun;36(6):1088-1103. (</w:t>
      </w:r>
      <w:r>
        <w:rPr>
          <w:b/>
          <w:bCs/>
          <w:sz w:val="24"/>
          <w:szCs w:val="24"/>
        </w:rPr>
        <w:t>IF</w:t>
      </w:r>
      <w:r>
        <w:rPr>
          <w:sz w:val="24"/>
          <w:szCs w:val="24"/>
        </w:rPr>
        <w:t>:6.39)</w:t>
      </w:r>
    </w:p>
    <w:sectPr>
      <w:pgSz w:w="12240" w:h="15840"/>
      <w:pgMar w:top="1418" w:right="1134" w:bottom="1418"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PMingLiU">
    <w:altName w:val="宋体-繁"/>
    <w:panose1 w:val="02020500000000000000"/>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16002C"/>
    <w:multiLevelType w:val="multilevel"/>
    <w:tmpl w:val="3416002C"/>
    <w:lvl w:ilvl="0" w:tentative="0">
      <w:start w:val="1"/>
      <w:numFmt w:val="decimal"/>
      <w:lvlText w:val="%1."/>
      <w:lvlJc w:val="left"/>
      <w:pPr>
        <w:tabs>
          <w:tab w:val="left" w:pos="420"/>
        </w:tabs>
        <w:ind w:left="420" w:hanging="420"/>
      </w:pPr>
      <w:rPr>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B9"/>
    <w:rsid w:val="0000324C"/>
    <w:rsid w:val="000234AF"/>
    <w:rsid w:val="00023890"/>
    <w:rsid w:val="00034401"/>
    <w:rsid w:val="00037542"/>
    <w:rsid w:val="00045023"/>
    <w:rsid w:val="00045304"/>
    <w:rsid w:val="000566B9"/>
    <w:rsid w:val="00060A40"/>
    <w:rsid w:val="00063962"/>
    <w:rsid w:val="00077A19"/>
    <w:rsid w:val="00085086"/>
    <w:rsid w:val="00087BDE"/>
    <w:rsid w:val="00087F54"/>
    <w:rsid w:val="0009340F"/>
    <w:rsid w:val="00097473"/>
    <w:rsid w:val="000A6168"/>
    <w:rsid w:val="000A7DD4"/>
    <w:rsid w:val="000C069C"/>
    <w:rsid w:val="000D6284"/>
    <w:rsid w:val="000F5890"/>
    <w:rsid w:val="000F66FE"/>
    <w:rsid w:val="000F7874"/>
    <w:rsid w:val="001036EB"/>
    <w:rsid w:val="00104BD2"/>
    <w:rsid w:val="00105BE8"/>
    <w:rsid w:val="0011185A"/>
    <w:rsid w:val="001145C4"/>
    <w:rsid w:val="00116D64"/>
    <w:rsid w:val="00121DF5"/>
    <w:rsid w:val="00141F18"/>
    <w:rsid w:val="0014559B"/>
    <w:rsid w:val="001535FA"/>
    <w:rsid w:val="00155ACF"/>
    <w:rsid w:val="00161817"/>
    <w:rsid w:val="00176F93"/>
    <w:rsid w:val="0018195C"/>
    <w:rsid w:val="00196187"/>
    <w:rsid w:val="001A2538"/>
    <w:rsid w:val="001A4265"/>
    <w:rsid w:val="001B14A1"/>
    <w:rsid w:val="001B325E"/>
    <w:rsid w:val="001C07DE"/>
    <w:rsid w:val="001C56FC"/>
    <w:rsid w:val="001D3321"/>
    <w:rsid w:val="001D6229"/>
    <w:rsid w:val="001E33E6"/>
    <w:rsid w:val="001E607F"/>
    <w:rsid w:val="002030A7"/>
    <w:rsid w:val="00205563"/>
    <w:rsid w:val="00210F6B"/>
    <w:rsid w:val="00214516"/>
    <w:rsid w:val="00214AF8"/>
    <w:rsid w:val="002254B0"/>
    <w:rsid w:val="00235CCF"/>
    <w:rsid w:val="00263D4B"/>
    <w:rsid w:val="00275864"/>
    <w:rsid w:val="002760C1"/>
    <w:rsid w:val="0028236A"/>
    <w:rsid w:val="00295556"/>
    <w:rsid w:val="00296FBF"/>
    <w:rsid w:val="002C3E5E"/>
    <w:rsid w:val="002C7DB6"/>
    <w:rsid w:val="002D1F2B"/>
    <w:rsid w:val="002D3006"/>
    <w:rsid w:val="002E31E4"/>
    <w:rsid w:val="002E5095"/>
    <w:rsid w:val="002F03CF"/>
    <w:rsid w:val="002F1F2E"/>
    <w:rsid w:val="002F65B4"/>
    <w:rsid w:val="00301132"/>
    <w:rsid w:val="00305C14"/>
    <w:rsid w:val="00313A89"/>
    <w:rsid w:val="00317C08"/>
    <w:rsid w:val="00335692"/>
    <w:rsid w:val="00351B7C"/>
    <w:rsid w:val="00352620"/>
    <w:rsid w:val="00360CA4"/>
    <w:rsid w:val="003A6674"/>
    <w:rsid w:val="003C78AF"/>
    <w:rsid w:val="003D2E64"/>
    <w:rsid w:val="003F1990"/>
    <w:rsid w:val="003F24B9"/>
    <w:rsid w:val="003F446E"/>
    <w:rsid w:val="00404089"/>
    <w:rsid w:val="0041771B"/>
    <w:rsid w:val="00457F16"/>
    <w:rsid w:val="00460C0B"/>
    <w:rsid w:val="00477EA6"/>
    <w:rsid w:val="004B0754"/>
    <w:rsid w:val="004B44F3"/>
    <w:rsid w:val="004C4C04"/>
    <w:rsid w:val="004D45B3"/>
    <w:rsid w:val="004E3DFB"/>
    <w:rsid w:val="0051006B"/>
    <w:rsid w:val="00550E81"/>
    <w:rsid w:val="005553A3"/>
    <w:rsid w:val="00570617"/>
    <w:rsid w:val="00583ED6"/>
    <w:rsid w:val="0058554D"/>
    <w:rsid w:val="00591501"/>
    <w:rsid w:val="00594A98"/>
    <w:rsid w:val="005A1179"/>
    <w:rsid w:val="005A29BC"/>
    <w:rsid w:val="005B6062"/>
    <w:rsid w:val="005B71D3"/>
    <w:rsid w:val="005D0D27"/>
    <w:rsid w:val="005E5427"/>
    <w:rsid w:val="0061463B"/>
    <w:rsid w:val="00620DA1"/>
    <w:rsid w:val="00626F04"/>
    <w:rsid w:val="00640D62"/>
    <w:rsid w:val="006523FC"/>
    <w:rsid w:val="006729A1"/>
    <w:rsid w:val="006774C9"/>
    <w:rsid w:val="006811C0"/>
    <w:rsid w:val="00683243"/>
    <w:rsid w:val="006956CA"/>
    <w:rsid w:val="006B77C2"/>
    <w:rsid w:val="006E2689"/>
    <w:rsid w:val="006E3499"/>
    <w:rsid w:val="007124E2"/>
    <w:rsid w:val="007134A0"/>
    <w:rsid w:val="007262A7"/>
    <w:rsid w:val="00735A95"/>
    <w:rsid w:val="00740830"/>
    <w:rsid w:val="00750D50"/>
    <w:rsid w:val="00753C4B"/>
    <w:rsid w:val="00756D26"/>
    <w:rsid w:val="00760EB7"/>
    <w:rsid w:val="0077030C"/>
    <w:rsid w:val="00770B4D"/>
    <w:rsid w:val="00774589"/>
    <w:rsid w:val="00784B4B"/>
    <w:rsid w:val="00796D46"/>
    <w:rsid w:val="007A140F"/>
    <w:rsid w:val="007A77CF"/>
    <w:rsid w:val="007C73DA"/>
    <w:rsid w:val="007D2DEF"/>
    <w:rsid w:val="007E2A5F"/>
    <w:rsid w:val="007E72A4"/>
    <w:rsid w:val="00814811"/>
    <w:rsid w:val="008167EF"/>
    <w:rsid w:val="00827071"/>
    <w:rsid w:val="008400F7"/>
    <w:rsid w:val="00843601"/>
    <w:rsid w:val="0085613D"/>
    <w:rsid w:val="00872926"/>
    <w:rsid w:val="008A34C3"/>
    <w:rsid w:val="008D2F20"/>
    <w:rsid w:val="008D589C"/>
    <w:rsid w:val="008E2CF9"/>
    <w:rsid w:val="008E7D72"/>
    <w:rsid w:val="00934C9F"/>
    <w:rsid w:val="0094300A"/>
    <w:rsid w:val="00943217"/>
    <w:rsid w:val="00954916"/>
    <w:rsid w:val="0096173D"/>
    <w:rsid w:val="00962036"/>
    <w:rsid w:val="0096541D"/>
    <w:rsid w:val="009658D2"/>
    <w:rsid w:val="009B45FF"/>
    <w:rsid w:val="009C0D3E"/>
    <w:rsid w:val="009C36A3"/>
    <w:rsid w:val="009C4FE7"/>
    <w:rsid w:val="009D73D2"/>
    <w:rsid w:val="009E1106"/>
    <w:rsid w:val="009F1C68"/>
    <w:rsid w:val="009F671E"/>
    <w:rsid w:val="00A0322F"/>
    <w:rsid w:val="00A10D61"/>
    <w:rsid w:val="00A2559B"/>
    <w:rsid w:val="00A41B30"/>
    <w:rsid w:val="00A431C2"/>
    <w:rsid w:val="00A50825"/>
    <w:rsid w:val="00A53730"/>
    <w:rsid w:val="00A53733"/>
    <w:rsid w:val="00A850CC"/>
    <w:rsid w:val="00AB4F97"/>
    <w:rsid w:val="00AB5D81"/>
    <w:rsid w:val="00AC661B"/>
    <w:rsid w:val="00AE3860"/>
    <w:rsid w:val="00AE5C44"/>
    <w:rsid w:val="00AE7CBF"/>
    <w:rsid w:val="00B04AA7"/>
    <w:rsid w:val="00B140C1"/>
    <w:rsid w:val="00B22651"/>
    <w:rsid w:val="00B26CAB"/>
    <w:rsid w:val="00B37558"/>
    <w:rsid w:val="00B42E81"/>
    <w:rsid w:val="00B47938"/>
    <w:rsid w:val="00B60756"/>
    <w:rsid w:val="00B61963"/>
    <w:rsid w:val="00B61D84"/>
    <w:rsid w:val="00B64032"/>
    <w:rsid w:val="00B7038E"/>
    <w:rsid w:val="00BA780B"/>
    <w:rsid w:val="00BB22F4"/>
    <w:rsid w:val="00BD2F12"/>
    <w:rsid w:val="00BE755F"/>
    <w:rsid w:val="00BF4B53"/>
    <w:rsid w:val="00C04342"/>
    <w:rsid w:val="00C21519"/>
    <w:rsid w:val="00C25142"/>
    <w:rsid w:val="00C3681B"/>
    <w:rsid w:val="00C375E5"/>
    <w:rsid w:val="00C4390A"/>
    <w:rsid w:val="00C658E1"/>
    <w:rsid w:val="00C6591B"/>
    <w:rsid w:val="00C765C6"/>
    <w:rsid w:val="00CA184C"/>
    <w:rsid w:val="00CA3B17"/>
    <w:rsid w:val="00CD4D35"/>
    <w:rsid w:val="00CE6D44"/>
    <w:rsid w:val="00D032EE"/>
    <w:rsid w:val="00D05BB0"/>
    <w:rsid w:val="00D13BB7"/>
    <w:rsid w:val="00D14D28"/>
    <w:rsid w:val="00D20298"/>
    <w:rsid w:val="00D40333"/>
    <w:rsid w:val="00D521F1"/>
    <w:rsid w:val="00D64E78"/>
    <w:rsid w:val="00D6777A"/>
    <w:rsid w:val="00D74B64"/>
    <w:rsid w:val="00D843C7"/>
    <w:rsid w:val="00D922D4"/>
    <w:rsid w:val="00D92FD4"/>
    <w:rsid w:val="00D96E5A"/>
    <w:rsid w:val="00DA3AC7"/>
    <w:rsid w:val="00DA409C"/>
    <w:rsid w:val="00DC0B37"/>
    <w:rsid w:val="00DD2922"/>
    <w:rsid w:val="00DD3817"/>
    <w:rsid w:val="00DD45C6"/>
    <w:rsid w:val="00DE0F1B"/>
    <w:rsid w:val="00DF43AF"/>
    <w:rsid w:val="00DF5990"/>
    <w:rsid w:val="00E265B8"/>
    <w:rsid w:val="00E30FFC"/>
    <w:rsid w:val="00E32817"/>
    <w:rsid w:val="00E406EA"/>
    <w:rsid w:val="00E50121"/>
    <w:rsid w:val="00E57391"/>
    <w:rsid w:val="00E611AA"/>
    <w:rsid w:val="00E77DE5"/>
    <w:rsid w:val="00E848BE"/>
    <w:rsid w:val="00E86B5E"/>
    <w:rsid w:val="00EA6B28"/>
    <w:rsid w:val="00ED3E20"/>
    <w:rsid w:val="00EF6670"/>
    <w:rsid w:val="00F0093C"/>
    <w:rsid w:val="00F03D64"/>
    <w:rsid w:val="00F12877"/>
    <w:rsid w:val="00F140A9"/>
    <w:rsid w:val="00F142F5"/>
    <w:rsid w:val="00F31874"/>
    <w:rsid w:val="00F405CF"/>
    <w:rsid w:val="00F751EE"/>
    <w:rsid w:val="00F969DF"/>
    <w:rsid w:val="00FA11CD"/>
    <w:rsid w:val="00FA6B7A"/>
    <w:rsid w:val="00FB0248"/>
    <w:rsid w:val="00FF2010"/>
    <w:rsid w:val="00FF2C0F"/>
    <w:rsid w:val="00FF7B17"/>
    <w:rsid w:val="1D3F27C9"/>
    <w:rsid w:val="6B7F202F"/>
    <w:rsid w:val="6ED8CC1F"/>
    <w:rsid w:val="7EBE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pPr>
    <w:rPr>
      <w:rFonts w:ascii="Times New Roman" w:hAnsi="Times New Roman" w:eastAsia="PMingLiU" w:cs="Times New Roman"/>
      <w:kern w:val="0"/>
      <w:sz w:val="20"/>
      <w:szCs w:val="20"/>
      <w:lang w:val="en-US" w:eastAsia="zh-TW"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Default"/>
    <w:qFormat/>
    <w:uiPriority w:val="0"/>
    <w:pPr>
      <w:widowControl w:val="0"/>
      <w:autoSpaceDE w:val="0"/>
      <w:autoSpaceDN w:val="0"/>
      <w:adjustRightInd w:val="0"/>
    </w:pPr>
    <w:rPr>
      <w:rFonts w:ascii="Times New Roman" w:hAnsi="Times New Roman" w:eastAsia="PMingLiU" w:cs="Times New Roman"/>
      <w:color w:val="000000"/>
      <w:kern w:val="0"/>
      <w:sz w:val="24"/>
      <w:szCs w:val="24"/>
      <w:lang w:val="en-US" w:eastAsia="zh-TW" w:bidi="ar-SA"/>
    </w:rPr>
  </w:style>
  <w:style w:type="paragraph" w:styleId="6">
    <w:name w:val="List Paragraph"/>
    <w:basedOn w:val="1"/>
    <w:qFormat/>
    <w:uiPriority w:val="34"/>
    <w:pPr>
      <w:ind w:left="720"/>
      <w:contextualSpacing/>
    </w:pPr>
  </w:style>
  <w:style w:type="paragraph" w:customStyle="1" w:styleId="7">
    <w:name w:val="正文1"/>
    <w:qFormat/>
    <w:uiPriority w:val="0"/>
    <w:pPr>
      <w:jc w:val="both"/>
    </w:pPr>
    <w:rPr>
      <w:rFonts w:ascii="Helvetica Neue" w:hAnsi="Helvetica Neue"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287</Words>
  <Characters>1638</Characters>
  <Lines>13</Lines>
  <Paragraphs>3</Paragraphs>
  <TotalTime>17</TotalTime>
  <ScaleCrop>false</ScaleCrop>
  <LinksUpToDate>false</LinksUpToDate>
  <CharactersWithSpaces>1922</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2023-02-03T04:59:00Z</dcterms:created>
  <dc:creator>office user</dc:creator>
  <cp:lastModifiedBy>陶晓卉是天才！</cp:lastModifiedBy>
  <dcterms:modified xsi:type="dcterms:W3CDTF">2023-05-04T22:36:17Z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A21F7607AC7A54354D48DB63069348EB</vt:lpwstr>
  </property>
</Properties>
</file>