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03C2" w14:textId="502B2309" w:rsidR="00C16D2A" w:rsidRPr="00B235BF" w:rsidRDefault="00772997" w:rsidP="00B235BF">
      <w:pPr>
        <w:spacing w:line="320" w:lineRule="exact"/>
        <w:jc w:val="center"/>
        <w:rPr>
          <w:b/>
          <w:i/>
          <w:sz w:val="24"/>
          <w:szCs w:val="24"/>
        </w:rPr>
      </w:pPr>
      <w:r w:rsidRPr="00A005D9">
        <w:rPr>
          <w:b/>
          <w:sz w:val="24"/>
          <w:szCs w:val="24"/>
          <w:u w:val="single"/>
        </w:rPr>
        <w:t>ZHANG</w:t>
      </w:r>
      <w:r w:rsidRPr="00A005D9">
        <w:rPr>
          <w:rFonts w:eastAsia="宋体"/>
          <w:b/>
          <w:sz w:val="24"/>
          <w:szCs w:val="24"/>
          <w:u w:val="single"/>
        </w:rPr>
        <w:t xml:space="preserve"> </w:t>
      </w:r>
      <w:r w:rsidR="0095220F">
        <w:rPr>
          <w:rFonts w:eastAsia="宋体"/>
          <w:b/>
          <w:sz w:val="24"/>
          <w:szCs w:val="24"/>
          <w:u w:val="single"/>
        </w:rPr>
        <w:t>Ning</w:t>
      </w:r>
      <w:r w:rsidRPr="00A005D9">
        <w:rPr>
          <w:rFonts w:eastAsia="宋体" w:hint="eastAsia"/>
          <w:b/>
          <w:sz w:val="24"/>
          <w:szCs w:val="24"/>
          <w:u w:val="single"/>
        </w:rPr>
        <w:t xml:space="preserve"> </w:t>
      </w:r>
      <w:r w:rsidR="0099716E">
        <w:rPr>
          <w:rFonts w:eastAsia="宋体"/>
          <w:b/>
          <w:sz w:val="24"/>
          <w:szCs w:val="24"/>
          <w:u w:val="single"/>
        </w:rPr>
        <w:t>(Ph</w:t>
      </w:r>
      <w:r w:rsidRPr="00A005D9">
        <w:rPr>
          <w:rFonts w:eastAsia="宋体"/>
          <w:b/>
          <w:sz w:val="24"/>
          <w:szCs w:val="24"/>
          <w:u w:val="single"/>
        </w:rPr>
        <w:t>.D</w:t>
      </w:r>
      <w:r w:rsidR="0099716E">
        <w:rPr>
          <w:rFonts w:eastAsia="宋体"/>
          <w:b/>
          <w:sz w:val="24"/>
          <w:szCs w:val="24"/>
          <w:u w:val="single"/>
        </w:rPr>
        <w:t>.</w:t>
      </w:r>
      <w:r w:rsidRPr="00A005D9">
        <w:rPr>
          <w:rFonts w:eastAsia="宋体"/>
          <w:b/>
          <w:sz w:val="24"/>
          <w:szCs w:val="24"/>
          <w:u w:val="single"/>
        </w:rPr>
        <w:t>)</w:t>
      </w:r>
    </w:p>
    <w:p w14:paraId="31671081" w14:textId="77777777" w:rsidR="00772997" w:rsidRPr="00A005D9" w:rsidRDefault="00772997" w:rsidP="00255D9D">
      <w:pPr>
        <w:spacing w:line="320" w:lineRule="exact"/>
        <w:ind w:right="-1030"/>
        <w:jc w:val="both"/>
        <w:rPr>
          <w:b/>
          <w:bCs/>
          <w:color w:val="000000"/>
          <w:sz w:val="24"/>
          <w:szCs w:val="24"/>
        </w:rPr>
      </w:pPr>
      <w:r w:rsidRPr="00A005D9">
        <w:rPr>
          <w:b/>
          <w:sz w:val="24"/>
          <w:szCs w:val="24"/>
        </w:rPr>
        <w:t xml:space="preserve">Academic qualifications: 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1843"/>
        <w:gridCol w:w="7697"/>
      </w:tblGrid>
      <w:tr w:rsidR="00A7576D" w:rsidRPr="00A7576D" w14:paraId="1401B7DF" w14:textId="77777777" w:rsidTr="006C1B2D">
        <w:trPr>
          <w:trHeight w:val="270"/>
        </w:trPr>
        <w:tc>
          <w:tcPr>
            <w:tcW w:w="1843" w:type="dxa"/>
          </w:tcPr>
          <w:p w14:paraId="59F0F556" w14:textId="1833D41F" w:rsidR="00A7576D" w:rsidRPr="00A7576D" w:rsidRDefault="00A7576D" w:rsidP="00255D9D">
            <w:pPr>
              <w:tabs>
                <w:tab w:val="left" w:pos="2520"/>
                <w:tab w:val="left" w:pos="3060"/>
              </w:tabs>
              <w:adjustRightInd w:val="0"/>
              <w:spacing w:line="320" w:lineRule="exact"/>
              <w:rPr>
                <w:bCs/>
                <w:sz w:val="24"/>
                <w:szCs w:val="24"/>
              </w:rPr>
            </w:pPr>
            <w:r w:rsidRPr="00A7576D">
              <w:rPr>
                <w:bCs/>
                <w:sz w:val="24"/>
                <w:szCs w:val="24"/>
              </w:rPr>
              <w:t>20</w:t>
            </w:r>
            <w:r w:rsidR="00B24F75">
              <w:rPr>
                <w:bCs/>
                <w:sz w:val="24"/>
                <w:szCs w:val="24"/>
              </w:rPr>
              <w:t>12</w:t>
            </w:r>
            <w:r w:rsidR="0023346E">
              <w:rPr>
                <w:bCs/>
                <w:sz w:val="24"/>
                <w:szCs w:val="24"/>
              </w:rPr>
              <w:t>.9</w:t>
            </w:r>
            <w:r w:rsidRPr="00A7576D">
              <w:rPr>
                <w:bCs/>
                <w:sz w:val="24"/>
                <w:szCs w:val="24"/>
              </w:rPr>
              <w:t>-20</w:t>
            </w:r>
            <w:r w:rsidR="00B24F75">
              <w:rPr>
                <w:bCs/>
                <w:sz w:val="24"/>
                <w:szCs w:val="24"/>
              </w:rPr>
              <w:t>16</w:t>
            </w:r>
            <w:r w:rsidR="0023346E">
              <w:rPr>
                <w:bCs/>
                <w:sz w:val="24"/>
                <w:szCs w:val="24"/>
              </w:rPr>
              <w:t>.6</w:t>
            </w:r>
            <w:r w:rsidRPr="00A7576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697" w:type="dxa"/>
          </w:tcPr>
          <w:p w14:paraId="0C00C13B" w14:textId="3286C0D2" w:rsidR="00A7576D" w:rsidRPr="00A7576D" w:rsidRDefault="00A7576D" w:rsidP="00255D9D">
            <w:pPr>
              <w:tabs>
                <w:tab w:val="left" w:pos="2520"/>
                <w:tab w:val="left" w:pos="3060"/>
              </w:tabs>
              <w:adjustRightInd w:val="0"/>
              <w:spacing w:line="320" w:lineRule="exact"/>
              <w:jc w:val="both"/>
              <w:rPr>
                <w:rFonts w:eastAsia="宋体"/>
                <w:bCs/>
                <w:sz w:val="24"/>
                <w:szCs w:val="24"/>
                <w:lang w:eastAsia="zh-CN"/>
              </w:rPr>
            </w:pPr>
            <w:r w:rsidRPr="00A7576D">
              <w:rPr>
                <w:bCs/>
                <w:sz w:val="24"/>
                <w:szCs w:val="24"/>
              </w:rPr>
              <w:t>Bachelor,</w:t>
            </w:r>
            <w:r w:rsidRPr="00A7576D">
              <w:rPr>
                <w:rFonts w:eastAsia="宋体"/>
                <w:bCs/>
                <w:sz w:val="24"/>
                <w:szCs w:val="24"/>
                <w:lang w:eastAsia="zh-CN"/>
              </w:rPr>
              <w:t xml:space="preserve"> Major in </w:t>
            </w:r>
            <w:r w:rsidR="00B24F75">
              <w:rPr>
                <w:rFonts w:eastAsia="宋体"/>
                <w:bCs/>
                <w:sz w:val="24"/>
                <w:szCs w:val="24"/>
                <w:lang w:eastAsia="zh-CN"/>
              </w:rPr>
              <w:t>Chinese</w:t>
            </w:r>
            <w:r w:rsidRPr="00A7576D">
              <w:rPr>
                <w:rFonts w:eastAsia="宋体"/>
                <w:bCs/>
                <w:sz w:val="24"/>
                <w:szCs w:val="24"/>
                <w:lang w:eastAsia="zh-CN"/>
              </w:rPr>
              <w:t xml:space="preserve"> medicine, </w:t>
            </w:r>
            <w:r w:rsidR="00B24F75">
              <w:rPr>
                <w:rFonts w:eastAsia="宋体"/>
                <w:bCs/>
                <w:sz w:val="24"/>
                <w:szCs w:val="24"/>
                <w:lang w:eastAsia="zh-CN"/>
              </w:rPr>
              <w:t>Guangzhou University of Chinese Medicine</w:t>
            </w:r>
            <w:r w:rsidRPr="00A7576D">
              <w:rPr>
                <w:rFonts w:hint="eastAsia"/>
                <w:bCs/>
                <w:sz w:val="24"/>
                <w:szCs w:val="24"/>
              </w:rPr>
              <w:t>,</w:t>
            </w:r>
            <w:r w:rsidRPr="00A7576D">
              <w:rPr>
                <w:bCs/>
                <w:sz w:val="24"/>
                <w:szCs w:val="24"/>
              </w:rPr>
              <w:t xml:space="preserve"> </w:t>
            </w:r>
            <w:r w:rsidR="00B24F75">
              <w:rPr>
                <w:bCs/>
                <w:sz w:val="24"/>
                <w:szCs w:val="24"/>
              </w:rPr>
              <w:t>Guangzhou</w:t>
            </w:r>
            <w:r w:rsidRPr="00A7576D">
              <w:rPr>
                <w:rFonts w:eastAsia="宋体"/>
                <w:bCs/>
                <w:sz w:val="24"/>
                <w:szCs w:val="24"/>
                <w:lang w:eastAsia="zh-CN"/>
              </w:rPr>
              <w:t>, China</w:t>
            </w:r>
            <w:r w:rsidRPr="00A7576D">
              <w:rPr>
                <w:bCs/>
                <w:sz w:val="24"/>
                <w:szCs w:val="24"/>
              </w:rPr>
              <w:t xml:space="preserve">     </w:t>
            </w:r>
          </w:p>
        </w:tc>
      </w:tr>
      <w:tr w:rsidR="00A7576D" w:rsidRPr="00A7576D" w14:paraId="14ED4658" w14:textId="77777777" w:rsidTr="006C1B2D">
        <w:trPr>
          <w:trHeight w:val="396"/>
        </w:trPr>
        <w:tc>
          <w:tcPr>
            <w:tcW w:w="1843" w:type="dxa"/>
          </w:tcPr>
          <w:p w14:paraId="20F7ABC6" w14:textId="392865A7" w:rsidR="00A7576D" w:rsidRPr="00A7576D" w:rsidRDefault="00A7576D" w:rsidP="00255D9D">
            <w:pPr>
              <w:spacing w:line="320" w:lineRule="exact"/>
              <w:rPr>
                <w:bCs/>
                <w:sz w:val="24"/>
                <w:szCs w:val="24"/>
              </w:rPr>
            </w:pPr>
            <w:r w:rsidRPr="00A7576D">
              <w:rPr>
                <w:bCs/>
                <w:sz w:val="24"/>
                <w:szCs w:val="24"/>
              </w:rPr>
              <w:t>20</w:t>
            </w:r>
            <w:r w:rsidR="00B24F75">
              <w:rPr>
                <w:bCs/>
                <w:sz w:val="24"/>
                <w:szCs w:val="24"/>
              </w:rPr>
              <w:t>16</w:t>
            </w:r>
            <w:r w:rsidR="0023346E">
              <w:rPr>
                <w:bCs/>
                <w:sz w:val="24"/>
                <w:szCs w:val="24"/>
              </w:rPr>
              <w:t>.9</w:t>
            </w:r>
            <w:r w:rsidRPr="00A7576D">
              <w:rPr>
                <w:bCs/>
                <w:sz w:val="24"/>
                <w:szCs w:val="24"/>
              </w:rPr>
              <w:t>-20</w:t>
            </w:r>
            <w:r w:rsidR="00B24F75">
              <w:rPr>
                <w:bCs/>
                <w:sz w:val="24"/>
                <w:szCs w:val="24"/>
              </w:rPr>
              <w:t>19</w:t>
            </w:r>
            <w:r w:rsidR="0023346E">
              <w:rPr>
                <w:bCs/>
                <w:sz w:val="24"/>
                <w:szCs w:val="24"/>
              </w:rPr>
              <w:t>.6</w:t>
            </w:r>
            <w:r w:rsidRPr="00A7576D">
              <w:rPr>
                <w:bCs/>
                <w:sz w:val="24"/>
                <w:szCs w:val="24"/>
              </w:rPr>
              <w:t xml:space="preserve">:       </w:t>
            </w:r>
          </w:p>
        </w:tc>
        <w:tc>
          <w:tcPr>
            <w:tcW w:w="7697" w:type="dxa"/>
          </w:tcPr>
          <w:p w14:paraId="58858286" w14:textId="3A835EC3" w:rsidR="00A7576D" w:rsidRPr="00A7576D" w:rsidRDefault="00A7576D" w:rsidP="00255D9D">
            <w:pPr>
              <w:spacing w:line="320" w:lineRule="exact"/>
              <w:jc w:val="both"/>
              <w:rPr>
                <w:bCs/>
                <w:sz w:val="24"/>
                <w:szCs w:val="24"/>
              </w:rPr>
            </w:pPr>
            <w:r w:rsidRPr="00A7576D">
              <w:rPr>
                <w:rFonts w:hint="eastAsia"/>
                <w:bCs/>
                <w:sz w:val="24"/>
                <w:szCs w:val="24"/>
              </w:rPr>
              <w:t>Master</w:t>
            </w:r>
            <w:r w:rsidRPr="00A7576D">
              <w:rPr>
                <w:bCs/>
                <w:sz w:val="24"/>
                <w:szCs w:val="24"/>
              </w:rPr>
              <w:t xml:space="preserve">, Major in </w:t>
            </w:r>
            <w:r w:rsidR="006C4B54">
              <w:rPr>
                <w:bCs/>
                <w:sz w:val="24"/>
                <w:szCs w:val="24"/>
              </w:rPr>
              <w:t>B</w:t>
            </w:r>
            <w:r w:rsidR="00B24F75">
              <w:rPr>
                <w:bCs/>
                <w:sz w:val="24"/>
                <w:szCs w:val="24"/>
              </w:rPr>
              <w:t>iology</w:t>
            </w:r>
            <w:r w:rsidRPr="00A7576D">
              <w:rPr>
                <w:bCs/>
                <w:sz w:val="24"/>
                <w:szCs w:val="24"/>
              </w:rPr>
              <w:t xml:space="preserve">, </w:t>
            </w:r>
            <w:r w:rsidR="00B24F75">
              <w:rPr>
                <w:rFonts w:eastAsia="宋体"/>
                <w:bCs/>
                <w:sz w:val="24"/>
                <w:szCs w:val="24"/>
                <w:lang w:eastAsia="zh-CN"/>
              </w:rPr>
              <w:t>School of Life Sciences</w:t>
            </w:r>
            <w:r w:rsidRPr="00A7576D">
              <w:rPr>
                <w:rFonts w:hint="eastAsia"/>
                <w:bCs/>
                <w:sz w:val="24"/>
                <w:szCs w:val="24"/>
              </w:rPr>
              <w:t xml:space="preserve">, </w:t>
            </w:r>
            <w:r w:rsidR="00B24F75">
              <w:rPr>
                <w:bCs/>
                <w:sz w:val="24"/>
                <w:szCs w:val="24"/>
              </w:rPr>
              <w:t>Tianjin</w:t>
            </w:r>
            <w:r w:rsidRPr="00A7576D">
              <w:rPr>
                <w:bCs/>
                <w:sz w:val="24"/>
                <w:szCs w:val="24"/>
              </w:rPr>
              <w:t xml:space="preserve"> University</w:t>
            </w:r>
            <w:r w:rsidRPr="00A7576D">
              <w:rPr>
                <w:rFonts w:hint="eastAsia"/>
                <w:bCs/>
                <w:sz w:val="24"/>
                <w:szCs w:val="24"/>
              </w:rPr>
              <w:t>,</w:t>
            </w:r>
            <w:r w:rsidRPr="00A7576D">
              <w:rPr>
                <w:bCs/>
                <w:sz w:val="24"/>
                <w:szCs w:val="24"/>
              </w:rPr>
              <w:t xml:space="preserve"> </w:t>
            </w:r>
            <w:r w:rsidR="00B24F75">
              <w:rPr>
                <w:rFonts w:eastAsia="宋体"/>
                <w:bCs/>
                <w:sz w:val="24"/>
                <w:szCs w:val="24"/>
                <w:lang w:eastAsia="zh-CN"/>
              </w:rPr>
              <w:t>Tianjin</w:t>
            </w:r>
            <w:r w:rsidRPr="00A7576D">
              <w:rPr>
                <w:rFonts w:eastAsia="宋体"/>
                <w:bCs/>
                <w:sz w:val="24"/>
                <w:szCs w:val="24"/>
                <w:lang w:eastAsia="zh-CN"/>
              </w:rPr>
              <w:t>, China</w:t>
            </w:r>
            <w:r w:rsidRPr="00A7576D">
              <w:rPr>
                <w:bCs/>
                <w:sz w:val="24"/>
                <w:szCs w:val="24"/>
              </w:rPr>
              <w:t xml:space="preserve">     </w:t>
            </w:r>
            <w:r w:rsidRPr="00A7576D">
              <w:rPr>
                <w:rFonts w:eastAsia="宋体"/>
                <w:bCs/>
                <w:sz w:val="24"/>
                <w:szCs w:val="24"/>
                <w:lang w:eastAsia="zh-CN"/>
              </w:rPr>
              <w:tab/>
            </w:r>
          </w:p>
        </w:tc>
      </w:tr>
      <w:tr w:rsidR="00A7576D" w:rsidRPr="00A7576D" w14:paraId="3A719B03" w14:textId="77777777" w:rsidTr="006C1B2D">
        <w:trPr>
          <w:trHeight w:val="836"/>
        </w:trPr>
        <w:tc>
          <w:tcPr>
            <w:tcW w:w="1843" w:type="dxa"/>
          </w:tcPr>
          <w:p w14:paraId="20A72EC9" w14:textId="2240C138" w:rsidR="00C954D7" w:rsidRPr="00A7576D" w:rsidRDefault="00A7576D" w:rsidP="00C954D7">
            <w:pPr>
              <w:tabs>
                <w:tab w:val="left" w:pos="2520"/>
                <w:tab w:val="left" w:pos="3060"/>
              </w:tabs>
              <w:adjustRightInd w:val="0"/>
              <w:spacing w:line="320" w:lineRule="exact"/>
              <w:rPr>
                <w:rFonts w:hint="eastAsia"/>
                <w:bCs/>
                <w:sz w:val="24"/>
                <w:szCs w:val="24"/>
              </w:rPr>
            </w:pPr>
            <w:r w:rsidRPr="00A7576D">
              <w:rPr>
                <w:bCs/>
                <w:sz w:val="24"/>
                <w:szCs w:val="24"/>
              </w:rPr>
              <w:t>20</w:t>
            </w:r>
            <w:r w:rsidR="00B24F75">
              <w:rPr>
                <w:bCs/>
                <w:sz w:val="24"/>
                <w:szCs w:val="24"/>
              </w:rPr>
              <w:t>20</w:t>
            </w:r>
            <w:r w:rsidR="0023346E">
              <w:rPr>
                <w:bCs/>
                <w:sz w:val="24"/>
                <w:szCs w:val="24"/>
              </w:rPr>
              <w:t>.1</w:t>
            </w:r>
            <w:r w:rsidRPr="00A7576D">
              <w:rPr>
                <w:bCs/>
                <w:sz w:val="24"/>
                <w:szCs w:val="24"/>
              </w:rPr>
              <w:t>-</w:t>
            </w:r>
            <w:r w:rsidR="008F130D">
              <w:rPr>
                <w:bCs/>
                <w:sz w:val="24"/>
                <w:szCs w:val="24"/>
              </w:rPr>
              <w:t>2023</w:t>
            </w:r>
            <w:r w:rsidR="0023346E">
              <w:rPr>
                <w:bCs/>
                <w:sz w:val="24"/>
                <w:szCs w:val="24"/>
              </w:rPr>
              <w:t>.2</w:t>
            </w:r>
            <w:r w:rsidRPr="00A7576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697" w:type="dxa"/>
          </w:tcPr>
          <w:p w14:paraId="48BA9EF9" w14:textId="28F5DC40" w:rsidR="0023346E" w:rsidRPr="0023346E" w:rsidRDefault="00A7576D" w:rsidP="00255D9D">
            <w:pPr>
              <w:tabs>
                <w:tab w:val="left" w:pos="2520"/>
                <w:tab w:val="left" w:pos="3060"/>
              </w:tabs>
              <w:adjustRightInd w:val="0"/>
              <w:spacing w:line="320" w:lineRule="exact"/>
              <w:jc w:val="both"/>
              <w:rPr>
                <w:rFonts w:eastAsia="宋体" w:hint="eastAsia"/>
                <w:bCs/>
                <w:sz w:val="24"/>
                <w:szCs w:val="24"/>
                <w:lang w:eastAsia="zh-CN"/>
              </w:rPr>
            </w:pPr>
            <w:r w:rsidRPr="00A7576D">
              <w:rPr>
                <w:bCs/>
                <w:sz w:val="24"/>
                <w:szCs w:val="24"/>
              </w:rPr>
              <w:t xml:space="preserve">Ph.D., Major in </w:t>
            </w:r>
            <w:r w:rsidR="00B24F75">
              <w:rPr>
                <w:bCs/>
                <w:sz w:val="24"/>
                <w:szCs w:val="24"/>
              </w:rPr>
              <w:t>Chinese Medicine</w:t>
            </w:r>
            <w:r w:rsidRPr="00A7576D">
              <w:rPr>
                <w:bCs/>
                <w:sz w:val="24"/>
                <w:szCs w:val="24"/>
              </w:rPr>
              <w:t xml:space="preserve">, </w:t>
            </w:r>
            <w:r w:rsidR="00B24F75">
              <w:rPr>
                <w:rFonts w:eastAsia="宋体"/>
                <w:bCs/>
                <w:sz w:val="24"/>
                <w:szCs w:val="24"/>
                <w:lang w:eastAsia="zh-CN"/>
              </w:rPr>
              <w:t>School of Chinese Medicine</w:t>
            </w:r>
            <w:r w:rsidRPr="00A7576D">
              <w:rPr>
                <w:rFonts w:eastAsia="宋体"/>
                <w:bCs/>
                <w:sz w:val="24"/>
                <w:szCs w:val="24"/>
                <w:lang w:eastAsia="zh-CN"/>
              </w:rPr>
              <w:t xml:space="preserve">, The </w:t>
            </w:r>
            <w:r w:rsidR="00B24F75">
              <w:rPr>
                <w:rFonts w:eastAsia="宋体"/>
                <w:bCs/>
                <w:sz w:val="24"/>
                <w:szCs w:val="24"/>
                <w:lang w:eastAsia="zh-CN"/>
              </w:rPr>
              <w:t>Chinese University of Hong Kong</w:t>
            </w:r>
            <w:r w:rsidRPr="00A7576D">
              <w:rPr>
                <w:rFonts w:eastAsia="宋体"/>
                <w:bCs/>
                <w:sz w:val="24"/>
                <w:szCs w:val="24"/>
                <w:lang w:eastAsia="zh-CN"/>
              </w:rPr>
              <w:t>, Hong Kong</w:t>
            </w:r>
          </w:p>
        </w:tc>
      </w:tr>
      <w:tr w:rsidR="0023346E" w:rsidRPr="00A7576D" w14:paraId="2525779A" w14:textId="77777777" w:rsidTr="006C1B2D">
        <w:trPr>
          <w:trHeight w:val="836"/>
        </w:trPr>
        <w:tc>
          <w:tcPr>
            <w:tcW w:w="1843" w:type="dxa"/>
          </w:tcPr>
          <w:p w14:paraId="6AFA6294" w14:textId="507B1E26" w:rsidR="0023346E" w:rsidRPr="0023346E" w:rsidRDefault="0023346E" w:rsidP="00255D9D">
            <w:pPr>
              <w:tabs>
                <w:tab w:val="left" w:pos="2520"/>
                <w:tab w:val="left" w:pos="3060"/>
              </w:tabs>
              <w:adjustRightInd w:val="0"/>
              <w:spacing w:line="320" w:lineRule="exact"/>
              <w:rPr>
                <w:rFonts w:eastAsiaTheme="minorEastAsia" w:hint="eastAsia"/>
                <w:bCs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eastAsiaTheme="minorEastAsia"/>
                <w:bCs/>
                <w:sz w:val="24"/>
                <w:szCs w:val="24"/>
                <w:lang w:eastAsia="zh-CN"/>
              </w:rPr>
              <w:t>023.4-</w:t>
            </w:r>
            <w:r>
              <w:rPr>
                <w:rFonts w:eastAsiaTheme="minorEastAsia" w:hint="eastAsia"/>
                <w:bCs/>
                <w:sz w:val="24"/>
                <w:szCs w:val="24"/>
                <w:lang w:eastAsia="zh-CN"/>
              </w:rPr>
              <w:t>now</w:t>
            </w:r>
            <w:r>
              <w:rPr>
                <w:rFonts w:eastAsiaTheme="minorEastAsia"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697" w:type="dxa"/>
          </w:tcPr>
          <w:p w14:paraId="22A4BE4E" w14:textId="700E343F" w:rsidR="0023346E" w:rsidRPr="0023346E" w:rsidRDefault="0023346E" w:rsidP="00255D9D">
            <w:pPr>
              <w:tabs>
                <w:tab w:val="left" w:pos="2520"/>
                <w:tab w:val="left" w:pos="3060"/>
              </w:tabs>
              <w:adjustRightInd w:val="0"/>
              <w:spacing w:line="320" w:lineRule="exact"/>
              <w:jc w:val="both"/>
              <w:rPr>
                <w:rFonts w:eastAsiaTheme="minorEastAsia" w:hint="eastAsia"/>
                <w:bCs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bCs/>
                <w:sz w:val="24"/>
                <w:szCs w:val="24"/>
                <w:lang w:eastAsia="zh-CN"/>
              </w:rPr>
              <w:t>P</w:t>
            </w:r>
            <w:r>
              <w:rPr>
                <w:rFonts w:eastAsiaTheme="minorEastAsia"/>
                <w:bCs/>
                <w:sz w:val="24"/>
                <w:szCs w:val="24"/>
                <w:lang w:eastAsia="zh-CN"/>
              </w:rPr>
              <w:t>ostdoctoral Fellow, School of Chinese Medicine, The Chinese University of Hong Kong, Hong Kong</w:t>
            </w:r>
          </w:p>
        </w:tc>
      </w:tr>
    </w:tbl>
    <w:p w14:paraId="335492CA" w14:textId="77777777" w:rsidR="00772997" w:rsidRPr="00A005D9" w:rsidRDefault="00772997" w:rsidP="00255D9D">
      <w:pPr>
        <w:adjustRightInd w:val="0"/>
        <w:spacing w:line="320" w:lineRule="exact"/>
        <w:jc w:val="both"/>
        <w:rPr>
          <w:rFonts w:eastAsia="宋体"/>
          <w:color w:val="000000"/>
          <w:sz w:val="24"/>
          <w:szCs w:val="24"/>
        </w:rPr>
      </w:pPr>
    </w:p>
    <w:p w14:paraId="4E901AE9" w14:textId="77777777" w:rsidR="00772997" w:rsidRPr="00A005D9" w:rsidRDefault="00772997" w:rsidP="00255D9D">
      <w:pPr>
        <w:pStyle w:val="Default"/>
        <w:spacing w:line="320" w:lineRule="exact"/>
        <w:jc w:val="both"/>
      </w:pPr>
      <w:r w:rsidRPr="00A005D9">
        <w:rPr>
          <w:b/>
          <w:bCs/>
        </w:rPr>
        <w:t xml:space="preserve">Previous academic positions held: 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1843"/>
        <w:gridCol w:w="7697"/>
      </w:tblGrid>
      <w:tr w:rsidR="00A7576D" w:rsidRPr="00A7576D" w14:paraId="7B870162" w14:textId="77777777" w:rsidTr="006C1B2D">
        <w:trPr>
          <w:trHeight w:val="621"/>
        </w:trPr>
        <w:tc>
          <w:tcPr>
            <w:tcW w:w="1843" w:type="dxa"/>
          </w:tcPr>
          <w:p w14:paraId="6E3B35C1" w14:textId="07160954" w:rsidR="00A7576D" w:rsidRPr="00A7576D" w:rsidRDefault="00A7576D" w:rsidP="00255D9D">
            <w:pPr>
              <w:tabs>
                <w:tab w:val="left" w:pos="720"/>
              </w:tabs>
              <w:adjustRightInd w:val="0"/>
              <w:spacing w:line="320" w:lineRule="exact"/>
              <w:jc w:val="both"/>
              <w:rPr>
                <w:rFonts w:eastAsia="宋体"/>
                <w:bCs/>
                <w:sz w:val="24"/>
                <w:szCs w:val="24"/>
                <w:lang w:eastAsia="zh-CN"/>
              </w:rPr>
            </w:pPr>
            <w:r w:rsidRPr="00A7576D">
              <w:rPr>
                <w:rFonts w:eastAsia="宋体"/>
                <w:bCs/>
                <w:sz w:val="24"/>
                <w:szCs w:val="24"/>
                <w:lang w:eastAsia="zh-CN"/>
              </w:rPr>
              <w:t>20</w:t>
            </w:r>
            <w:r w:rsidR="00B24F75">
              <w:rPr>
                <w:rFonts w:eastAsia="宋体"/>
                <w:bCs/>
                <w:sz w:val="24"/>
                <w:szCs w:val="24"/>
                <w:lang w:eastAsia="zh-CN"/>
              </w:rPr>
              <w:t>19</w:t>
            </w:r>
            <w:r w:rsidR="006C1B2D">
              <w:rPr>
                <w:rFonts w:eastAsia="宋体"/>
                <w:bCs/>
                <w:sz w:val="24"/>
                <w:szCs w:val="24"/>
                <w:lang w:eastAsia="zh-CN"/>
              </w:rPr>
              <w:t>.8</w:t>
            </w:r>
            <w:r w:rsidRPr="00A7576D">
              <w:rPr>
                <w:rFonts w:eastAsia="宋体"/>
                <w:bCs/>
                <w:sz w:val="24"/>
                <w:szCs w:val="24"/>
                <w:lang w:eastAsia="zh-CN"/>
              </w:rPr>
              <w:t>-20</w:t>
            </w:r>
            <w:r w:rsidR="00B24F75">
              <w:rPr>
                <w:rFonts w:eastAsia="宋体"/>
                <w:bCs/>
                <w:sz w:val="24"/>
                <w:szCs w:val="24"/>
                <w:lang w:eastAsia="zh-CN"/>
              </w:rPr>
              <w:t>19</w:t>
            </w:r>
            <w:r w:rsidR="006C1B2D">
              <w:rPr>
                <w:rFonts w:eastAsia="宋体"/>
                <w:bCs/>
                <w:sz w:val="24"/>
                <w:szCs w:val="24"/>
                <w:lang w:eastAsia="zh-CN"/>
              </w:rPr>
              <w:t>.12</w:t>
            </w:r>
            <w:r w:rsidRPr="00A7576D">
              <w:rPr>
                <w:rFonts w:eastAsia="宋体"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697" w:type="dxa"/>
          </w:tcPr>
          <w:p w14:paraId="708A0FA4" w14:textId="2AA627D0" w:rsidR="00A7576D" w:rsidRPr="00A7576D" w:rsidRDefault="00A7576D" w:rsidP="00255D9D">
            <w:pPr>
              <w:tabs>
                <w:tab w:val="left" w:pos="720"/>
              </w:tabs>
              <w:adjustRightInd w:val="0"/>
              <w:spacing w:line="320" w:lineRule="exact"/>
              <w:jc w:val="both"/>
              <w:rPr>
                <w:rFonts w:eastAsia="宋体"/>
                <w:bCs/>
                <w:sz w:val="24"/>
                <w:szCs w:val="24"/>
                <w:lang w:eastAsia="zh-CN"/>
              </w:rPr>
            </w:pPr>
            <w:r w:rsidRPr="00A7576D">
              <w:rPr>
                <w:rFonts w:eastAsia="宋体"/>
                <w:bCs/>
                <w:sz w:val="24"/>
                <w:szCs w:val="24"/>
                <w:lang w:eastAsia="zh-CN"/>
              </w:rPr>
              <w:t xml:space="preserve">Research Assistant, Dept. of </w:t>
            </w:r>
            <w:r w:rsidR="00B24F75">
              <w:rPr>
                <w:rFonts w:eastAsia="宋体"/>
                <w:bCs/>
                <w:sz w:val="24"/>
                <w:szCs w:val="24"/>
                <w:lang w:eastAsia="zh-CN"/>
              </w:rPr>
              <w:t>Biomedical Engineering</w:t>
            </w:r>
            <w:r w:rsidRPr="00A7576D">
              <w:rPr>
                <w:rFonts w:eastAsia="宋体"/>
                <w:bCs/>
                <w:sz w:val="24"/>
                <w:szCs w:val="24"/>
                <w:lang w:eastAsia="zh-CN"/>
              </w:rPr>
              <w:t xml:space="preserve">, The </w:t>
            </w:r>
            <w:r w:rsidR="00B24F75">
              <w:rPr>
                <w:rFonts w:eastAsia="宋体"/>
                <w:bCs/>
                <w:sz w:val="24"/>
                <w:szCs w:val="24"/>
                <w:lang w:eastAsia="zh-CN"/>
              </w:rPr>
              <w:t>Chinese University of Hong Kong</w:t>
            </w:r>
            <w:r w:rsidRPr="00A7576D">
              <w:rPr>
                <w:rFonts w:eastAsia="宋体"/>
                <w:bCs/>
                <w:sz w:val="24"/>
                <w:szCs w:val="24"/>
                <w:lang w:eastAsia="zh-CN"/>
              </w:rPr>
              <w:t>, Hong Kong</w:t>
            </w:r>
          </w:p>
        </w:tc>
      </w:tr>
    </w:tbl>
    <w:p w14:paraId="12A835C1" w14:textId="77777777" w:rsidR="00772997" w:rsidRPr="00B24F75" w:rsidRDefault="00772997" w:rsidP="00255D9D">
      <w:pPr>
        <w:tabs>
          <w:tab w:val="left" w:pos="1530"/>
        </w:tabs>
        <w:spacing w:line="320" w:lineRule="exact"/>
        <w:jc w:val="both"/>
        <w:rPr>
          <w:sz w:val="24"/>
          <w:szCs w:val="24"/>
        </w:rPr>
      </w:pPr>
    </w:p>
    <w:p w14:paraId="4EA962B7" w14:textId="77777777" w:rsidR="00772997" w:rsidRDefault="00772997" w:rsidP="00255D9D">
      <w:pPr>
        <w:spacing w:line="320" w:lineRule="exact"/>
        <w:jc w:val="both"/>
        <w:rPr>
          <w:rFonts w:eastAsia="宋体"/>
          <w:sz w:val="24"/>
          <w:szCs w:val="24"/>
        </w:rPr>
      </w:pPr>
      <w:r w:rsidRPr="00A005D9">
        <w:rPr>
          <w:b/>
          <w:bCs/>
          <w:color w:val="000000"/>
          <w:sz w:val="24"/>
          <w:szCs w:val="24"/>
        </w:rPr>
        <w:t>Previous relevant research work:</w:t>
      </w:r>
    </w:p>
    <w:p w14:paraId="1E0DBC68" w14:textId="4E592E29" w:rsidR="006C1B2D" w:rsidRDefault="00A07B8A" w:rsidP="00255D9D">
      <w:pPr>
        <w:spacing w:line="320" w:lineRule="exact"/>
        <w:jc w:val="both"/>
        <w:rPr>
          <w:rFonts w:eastAsiaTheme="minorEastAsia"/>
          <w:sz w:val="24"/>
          <w:szCs w:val="24"/>
          <w:lang w:eastAsia="zh-CN"/>
        </w:rPr>
      </w:pPr>
      <w:r w:rsidRPr="00A07B8A">
        <w:rPr>
          <w:rFonts w:eastAsia="宋体"/>
          <w:b/>
          <w:bCs/>
          <w:sz w:val="24"/>
          <w:szCs w:val="24"/>
        </w:rPr>
        <w:t>Drug screening and discovery towards osteoporosis therapy</w:t>
      </w:r>
      <w:r>
        <w:rPr>
          <w:rFonts w:eastAsia="宋体"/>
          <w:sz w:val="24"/>
          <w:szCs w:val="24"/>
        </w:rPr>
        <w:t>. T</w:t>
      </w:r>
      <w:r w:rsidRPr="00A07B8A">
        <w:rPr>
          <w:rFonts w:eastAsia="宋体"/>
          <w:sz w:val="24"/>
          <w:szCs w:val="24"/>
        </w:rPr>
        <w:t>he paper published in 2020 explained the pros and cons of denosumab treatment in osteoporosis and the implication for novel aptamer treatment (</w:t>
      </w:r>
      <w:r w:rsidRPr="003267BB">
        <w:rPr>
          <w:b/>
          <w:i/>
          <w:sz w:val="24"/>
          <w:szCs w:val="24"/>
        </w:rPr>
        <w:t>Front</w:t>
      </w:r>
      <w:r>
        <w:rPr>
          <w:b/>
          <w:i/>
          <w:sz w:val="24"/>
          <w:szCs w:val="24"/>
        </w:rPr>
        <w:t xml:space="preserve"> </w:t>
      </w:r>
      <w:r w:rsidRPr="003267BB">
        <w:rPr>
          <w:b/>
          <w:i/>
          <w:sz w:val="24"/>
          <w:szCs w:val="24"/>
        </w:rPr>
        <w:t>Cell Dev Biol</w:t>
      </w:r>
      <w:r w:rsidRPr="00A07B8A">
        <w:rPr>
          <w:rFonts w:eastAsia="宋体"/>
          <w:sz w:val="24"/>
          <w:szCs w:val="24"/>
        </w:rPr>
        <w:t xml:space="preserve">, 2020). After that, considering the safety and compliance concerns of current FDA-approved antibody for the treatment of osteoporosis, </w:t>
      </w:r>
      <w:r>
        <w:rPr>
          <w:rFonts w:eastAsia="宋体"/>
          <w:sz w:val="24"/>
          <w:szCs w:val="24"/>
        </w:rPr>
        <w:t>I</w:t>
      </w:r>
      <w:r w:rsidRPr="00A07B8A">
        <w:rPr>
          <w:rFonts w:eastAsia="宋体"/>
          <w:sz w:val="24"/>
          <w:szCs w:val="24"/>
        </w:rPr>
        <w:t xml:space="preserve"> therefore present relevant discussion and offer perspectives on the development of next-generation sclerostin inhibitors by following several ways, such as concomitant medication, artificial intelligence-based strategy, druggable modification, and bispecific inhibitors strategy (</w:t>
      </w:r>
      <w:r w:rsidRPr="00491925">
        <w:rPr>
          <w:rFonts w:eastAsiaTheme="minorEastAsia"/>
          <w:b/>
          <w:bCs/>
          <w:i/>
          <w:iCs/>
          <w:sz w:val="24"/>
          <w:szCs w:val="24"/>
          <w:lang w:eastAsia="zh-CN"/>
        </w:rPr>
        <w:t>Acta Pharm Sin B</w:t>
      </w:r>
      <w:r w:rsidRPr="00A07B8A">
        <w:rPr>
          <w:rFonts w:eastAsia="宋体"/>
          <w:sz w:val="24"/>
          <w:szCs w:val="24"/>
        </w:rPr>
        <w:t xml:space="preserve">, 2022). </w:t>
      </w:r>
    </w:p>
    <w:p w14:paraId="4CEA599C" w14:textId="557CA5C3" w:rsidR="00A07B8A" w:rsidRDefault="00A07B8A" w:rsidP="00255D9D">
      <w:pPr>
        <w:spacing w:line="320" w:lineRule="exact"/>
        <w:jc w:val="both"/>
        <w:rPr>
          <w:rFonts w:eastAsiaTheme="minorEastAsia"/>
          <w:sz w:val="24"/>
          <w:szCs w:val="24"/>
          <w:lang w:eastAsia="zh-CN"/>
        </w:rPr>
      </w:pPr>
    </w:p>
    <w:p w14:paraId="29F01FDB" w14:textId="37DD2704" w:rsidR="00A07B8A" w:rsidRPr="00A07B8A" w:rsidRDefault="00A07B8A" w:rsidP="00255D9D">
      <w:pPr>
        <w:spacing w:line="320" w:lineRule="exact"/>
        <w:jc w:val="both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S</w:t>
      </w:r>
      <w:r w:rsidRPr="00A07B8A">
        <w:rPr>
          <w:rFonts w:eastAsiaTheme="minorEastAsia"/>
          <w:b/>
          <w:bCs/>
          <w:sz w:val="24"/>
          <w:szCs w:val="24"/>
          <w:lang w:eastAsia="zh-CN"/>
        </w:rPr>
        <w:t>tructural loop target discovery within proteins and aptamer drug discovery</w:t>
      </w:r>
      <w:r>
        <w:rPr>
          <w:rFonts w:eastAsiaTheme="minorEastAsia"/>
          <w:sz w:val="24"/>
          <w:szCs w:val="24"/>
          <w:lang w:eastAsia="zh-CN"/>
        </w:rPr>
        <w:t xml:space="preserve">. </w:t>
      </w:r>
      <w:r w:rsidRPr="00A07B8A">
        <w:rPr>
          <w:rFonts w:eastAsiaTheme="minorEastAsia"/>
          <w:sz w:val="24"/>
          <w:szCs w:val="24"/>
          <w:lang w:eastAsia="zh-CN"/>
        </w:rPr>
        <w:t>One genetic approach study suggested that sclerostin loop3 played an important role in sclerostin inhibiting bone formation, whereas the protective effect of sclerostin on cardiovascular system was independent of loop3 (</w:t>
      </w:r>
      <w:r w:rsidRPr="00A46D24">
        <w:rPr>
          <w:b/>
          <w:bCs/>
          <w:i/>
          <w:iCs/>
          <w:sz w:val="24"/>
          <w:szCs w:val="24"/>
        </w:rPr>
        <w:t xml:space="preserve">Nat </w:t>
      </w:r>
      <w:proofErr w:type="spellStart"/>
      <w:r w:rsidRPr="00A46D24">
        <w:rPr>
          <w:b/>
          <w:bCs/>
          <w:i/>
          <w:iCs/>
          <w:sz w:val="24"/>
          <w:szCs w:val="24"/>
        </w:rPr>
        <w:t>Commun</w:t>
      </w:r>
      <w:proofErr w:type="spellEnd"/>
      <w:r w:rsidRPr="00A07B8A">
        <w:rPr>
          <w:rFonts w:eastAsiaTheme="minorEastAsia"/>
          <w:sz w:val="24"/>
          <w:szCs w:val="24"/>
          <w:lang w:eastAsia="zh-CN"/>
        </w:rPr>
        <w:t xml:space="preserve">, 2022). After that, an aptamer </w:t>
      </w:r>
      <w:r>
        <w:rPr>
          <w:rFonts w:eastAsiaTheme="minorEastAsia"/>
          <w:sz w:val="24"/>
          <w:szCs w:val="24"/>
          <w:lang w:eastAsia="zh-CN"/>
        </w:rPr>
        <w:t xml:space="preserve">was </w:t>
      </w:r>
      <w:r w:rsidRPr="00A07B8A">
        <w:rPr>
          <w:rFonts w:eastAsiaTheme="minorEastAsia"/>
          <w:sz w:val="24"/>
          <w:szCs w:val="24"/>
          <w:lang w:eastAsia="zh-CN"/>
        </w:rPr>
        <w:t>pharmacologically screened targeting sclerostin loop 3, which could promote bone formation without increase cardiovascular risk in osteogenesis imperfect model (</w:t>
      </w:r>
      <w:proofErr w:type="spellStart"/>
      <w:r w:rsidRPr="00A07B8A">
        <w:rPr>
          <w:rFonts w:eastAsiaTheme="minorEastAsia"/>
          <w:b/>
          <w:bCs/>
          <w:i/>
          <w:iCs/>
          <w:sz w:val="24"/>
          <w:szCs w:val="24"/>
          <w:lang w:eastAsia="zh-CN"/>
        </w:rPr>
        <w:t>Theranostics</w:t>
      </w:r>
      <w:proofErr w:type="spellEnd"/>
      <w:r w:rsidRPr="00A07B8A">
        <w:rPr>
          <w:rFonts w:eastAsiaTheme="minorEastAsia"/>
          <w:sz w:val="24"/>
          <w:szCs w:val="24"/>
          <w:lang w:eastAsia="zh-CN"/>
        </w:rPr>
        <w:t>, 2022). The aptamer drug candidate has been granted Orphan Drug Designation by US FDA (DRU-2019-6966), which is the first successful case in Hong Kong.</w:t>
      </w:r>
    </w:p>
    <w:p w14:paraId="622E732F" w14:textId="77777777" w:rsidR="00A7576D" w:rsidRDefault="00A7576D" w:rsidP="00255D9D">
      <w:pPr>
        <w:spacing w:line="320" w:lineRule="exact"/>
        <w:jc w:val="both"/>
        <w:rPr>
          <w:b/>
          <w:bCs/>
          <w:color w:val="000000"/>
          <w:sz w:val="24"/>
          <w:szCs w:val="24"/>
        </w:rPr>
      </w:pPr>
    </w:p>
    <w:p w14:paraId="2B05B043" w14:textId="77777777" w:rsidR="0019396B" w:rsidRDefault="00772997" w:rsidP="00255D9D">
      <w:pPr>
        <w:spacing w:line="320" w:lineRule="exact"/>
        <w:jc w:val="both"/>
        <w:rPr>
          <w:sz w:val="24"/>
          <w:szCs w:val="24"/>
          <w:lang w:val="en-GB"/>
        </w:rPr>
      </w:pPr>
      <w:r w:rsidRPr="00A005D9">
        <w:rPr>
          <w:b/>
          <w:bCs/>
          <w:color w:val="000000"/>
          <w:sz w:val="24"/>
          <w:szCs w:val="24"/>
        </w:rPr>
        <w:t>Publication records</w:t>
      </w:r>
      <w:r w:rsidRPr="001365E4">
        <w:rPr>
          <w:sz w:val="24"/>
          <w:szCs w:val="24"/>
          <w:lang w:val="en-GB"/>
        </w:rPr>
        <w:t>:</w:t>
      </w:r>
      <w:r>
        <w:rPr>
          <w:rFonts w:hint="eastAsia"/>
          <w:sz w:val="24"/>
          <w:szCs w:val="24"/>
          <w:lang w:val="en-GB"/>
        </w:rPr>
        <w:t xml:space="preserve"> </w:t>
      </w:r>
    </w:p>
    <w:p w14:paraId="6187D794" w14:textId="43A5F580" w:rsidR="00B3070B" w:rsidRPr="00B3070B" w:rsidRDefault="00EA7D4A" w:rsidP="00255D9D">
      <w:pPr>
        <w:spacing w:line="320" w:lineRule="exact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</w:t>
      </w:r>
      <w:r w:rsidR="00772997" w:rsidRPr="00A005D9">
        <w:rPr>
          <w:b/>
          <w:sz w:val="24"/>
          <w:szCs w:val="24"/>
          <w:lang w:val="en-GB"/>
        </w:rPr>
        <w:t>epresentative publications in the recent five years</w:t>
      </w:r>
      <w:r w:rsidR="00772997">
        <w:rPr>
          <w:b/>
          <w:sz w:val="24"/>
          <w:szCs w:val="24"/>
          <w:lang w:val="en-GB"/>
        </w:rPr>
        <w:t xml:space="preserve"> </w:t>
      </w:r>
      <w:r w:rsidR="00772997" w:rsidRPr="008A7B99">
        <w:rPr>
          <w:sz w:val="24"/>
          <w:szCs w:val="24"/>
          <w:lang w:val="en-GB"/>
        </w:rPr>
        <w:t>(</w:t>
      </w:r>
      <w:r w:rsidR="00A7576D">
        <w:rPr>
          <w:sz w:val="24"/>
          <w:szCs w:val="24"/>
          <w:lang w:val="en-GB"/>
        </w:rPr>
        <w:t># Co-first author)</w:t>
      </w:r>
    </w:p>
    <w:p w14:paraId="71F0F2F8" w14:textId="48D9E35F" w:rsidR="00B3070B" w:rsidRDefault="00B3070B" w:rsidP="00493549">
      <w:pPr>
        <w:pStyle w:val="a3"/>
        <w:widowControl w:val="0"/>
        <w:numPr>
          <w:ilvl w:val="0"/>
          <w:numId w:val="2"/>
        </w:numPr>
        <w:adjustRightInd w:val="0"/>
        <w:spacing w:line="276" w:lineRule="auto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Wang LY, </w:t>
      </w:r>
      <w:r w:rsidRPr="00B53779">
        <w:rPr>
          <w:b/>
          <w:bCs/>
          <w:sz w:val="24"/>
          <w:szCs w:val="24"/>
          <w:u w:val="single"/>
        </w:rPr>
        <w:t>Zhang N</w:t>
      </w:r>
      <w:r w:rsidR="00B53779" w:rsidRPr="00493549">
        <w:rPr>
          <w:b/>
          <w:sz w:val="24"/>
          <w:szCs w:val="24"/>
          <w:u w:val="single"/>
          <w:vertAlign w:val="superscript"/>
        </w:rPr>
        <w:t>#</w:t>
      </w:r>
      <w:r>
        <w:rPr>
          <w:sz w:val="24"/>
          <w:szCs w:val="24"/>
        </w:rPr>
        <w:t xml:space="preserve">, Liu J, Yang X, Yu YY, Li DJ, Jiang HW, Sun MH, Li NX, Ma DQ, Huang Y, Lu AP, Zhang BT, Zhang G. </w:t>
      </w:r>
      <w:r w:rsidRPr="00B3070B">
        <w:rPr>
          <w:sz w:val="24"/>
          <w:szCs w:val="24"/>
        </w:rPr>
        <w:t>Macrophagic sclerostin loop2-ApoER2 interaction required by sclerostin for suppressing inflammatory responses</w:t>
      </w:r>
      <w:r>
        <w:rPr>
          <w:sz w:val="24"/>
          <w:szCs w:val="24"/>
        </w:rPr>
        <w:t>.</w:t>
      </w:r>
      <w:r w:rsidR="00B235BF">
        <w:rPr>
          <w:sz w:val="24"/>
          <w:szCs w:val="24"/>
        </w:rPr>
        <w:t xml:space="preserve"> </w:t>
      </w:r>
      <w:r w:rsidR="009D665F" w:rsidRPr="009D665F">
        <w:rPr>
          <w:b/>
          <w:bCs/>
          <w:i/>
          <w:iCs/>
          <w:sz w:val="24"/>
          <w:szCs w:val="24"/>
        </w:rPr>
        <w:t>Metabolism</w:t>
      </w:r>
      <w:r w:rsidR="00CA536D">
        <w:rPr>
          <w:sz w:val="24"/>
          <w:szCs w:val="24"/>
        </w:rPr>
        <w:t>-</w:t>
      </w:r>
      <w:r w:rsidR="00B53779">
        <w:rPr>
          <w:b/>
          <w:bCs/>
          <w:i/>
          <w:iCs/>
          <w:sz w:val="24"/>
          <w:szCs w:val="24"/>
        </w:rPr>
        <w:t>clinical and experimental</w:t>
      </w:r>
      <w:r w:rsidR="00B53779">
        <w:rPr>
          <w:sz w:val="24"/>
          <w:szCs w:val="24"/>
        </w:rPr>
        <w:t>, 202</w:t>
      </w:r>
      <w:r w:rsidR="00CA536D">
        <w:rPr>
          <w:sz w:val="24"/>
          <w:szCs w:val="24"/>
        </w:rPr>
        <w:t>3</w:t>
      </w:r>
      <w:r w:rsidR="00B53779">
        <w:rPr>
          <w:sz w:val="24"/>
          <w:szCs w:val="24"/>
        </w:rPr>
        <w:t>.</w:t>
      </w:r>
    </w:p>
    <w:p w14:paraId="05DA7B36" w14:textId="10FB1869" w:rsidR="00CA536D" w:rsidRPr="00C954D7" w:rsidRDefault="00D0240A" w:rsidP="00C954D7">
      <w:pPr>
        <w:pStyle w:val="a3"/>
        <w:widowControl w:val="0"/>
        <w:numPr>
          <w:ilvl w:val="0"/>
          <w:numId w:val="2"/>
        </w:numPr>
        <w:adjustRightInd w:val="0"/>
        <w:spacing w:line="276" w:lineRule="auto"/>
        <w:jc w:val="both"/>
        <w:outlineLvl w:val="0"/>
        <w:rPr>
          <w:rFonts w:hint="eastAsia"/>
          <w:sz w:val="24"/>
          <w:szCs w:val="24"/>
        </w:rPr>
      </w:pPr>
      <w:r w:rsidRPr="00D0240A">
        <w:rPr>
          <w:sz w:val="24"/>
          <w:szCs w:val="24"/>
        </w:rPr>
        <w:lastRenderedPageBreak/>
        <w:t>Zhang Y</w:t>
      </w:r>
      <w:r>
        <w:rPr>
          <w:sz w:val="24"/>
          <w:szCs w:val="24"/>
        </w:rPr>
        <w:t>,</w:t>
      </w:r>
      <w:r w:rsidRPr="00D0240A">
        <w:rPr>
          <w:sz w:val="24"/>
          <w:szCs w:val="24"/>
        </w:rPr>
        <w:t xml:space="preserve"> </w:t>
      </w:r>
      <w:r>
        <w:rPr>
          <w:sz w:val="24"/>
          <w:szCs w:val="24"/>
        </w:rPr>
        <w:t>Song XJ,</w:t>
      </w:r>
      <w:r w:rsidRPr="00D0240A">
        <w:rPr>
          <w:sz w:val="24"/>
          <w:szCs w:val="24"/>
        </w:rPr>
        <w:t xml:space="preserve"> Chen C</w:t>
      </w:r>
      <w:r>
        <w:rPr>
          <w:sz w:val="24"/>
          <w:szCs w:val="24"/>
        </w:rPr>
        <w:t>,</w:t>
      </w:r>
      <w:r w:rsidRPr="00D0240A">
        <w:rPr>
          <w:sz w:val="24"/>
          <w:szCs w:val="24"/>
        </w:rPr>
        <w:t xml:space="preserve"> L</w:t>
      </w:r>
      <w:r>
        <w:rPr>
          <w:sz w:val="24"/>
          <w:szCs w:val="24"/>
        </w:rPr>
        <w:t>iu</w:t>
      </w:r>
      <w:r w:rsidRPr="00D0240A">
        <w:rPr>
          <w:sz w:val="24"/>
          <w:szCs w:val="24"/>
        </w:rPr>
        <w:t xml:space="preserve"> </w:t>
      </w:r>
      <w:r>
        <w:rPr>
          <w:sz w:val="24"/>
          <w:szCs w:val="24"/>
        </w:rPr>
        <w:t>L,</w:t>
      </w:r>
      <w:r w:rsidRPr="00D0240A">
        <w:rPr>
          <w:sz w:val="24"/>
          <w:szCs w:val="24"/>
        </w:rPr>
        <w:t xml:space="preserve"> Xu </w:t>
      </w:r>
      <w:r>
        <w:rPr>
          <w:sz w:val="24"/>
          <w:szCs w:val="24"/>
        </w:rPr>
        <w:t xml:space="preserve">YY, </w:t>
      </w:r>
      <w:r w:rsidRPr="00C954D7">
        <w:rPr>
          <w:b/>
          <w:bCs/>
          <w:sz w:val="24"/>
          <w:szCs w:val="24"/>
          <w:u w:val="single"/>
        </w:rPr>
        <w:t>Zhang N</w:t>
      </w:r>
      <w:r w:rsidRPr="00D0240A">
        <w:rPr>
          <w:sz w:val="24"/>
          <w:szCs w:val="24"/>
        </w:rPr>
        <w:t xml:space="preserve">, Huang </w:t>
      </w:r>
      <w:r>
        <w:rPr>
          <w:sz w:val="24"/>
          <w:szCs w:val="24"/>
        </w:rPr>
        <w:t>WD</w:t>
      </w:r>
      <w:r w:rsidRPr="00D024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Zheng </w:t>
      </w:r>
      <w:r w:rsidRPr="00D0240A">
        <w:rPr>
          <w:sz w:val="24"/>
          <w:szCs w:val="24"/>
        </w:rPr>
        <w:t xml:space="preserve">J, Yuan </w:t>
      </w:r>
      <w:r>
        <w:rPr>
          <w:sz w:val="24"/>
          <w:szCs w:val="24"/>
        </w:rPr>
        <w:t>WS</w:t>
      </w:r>
      <w:r w:rsidRPr="00D0240A">
        <w:rPr>
          <w:sz w:val="24"/>
          <w:szCs w:val="24"/>
        </w:rPr>
        <w:t xml:space="preserve">, Tang </w:t>
      </w:r>
      <w:r>
        <w:rPr>
          <w:sz w:val="24"/>
          <w:szCs w:val="24"/>
        </w:rPr>
        <w:t>L</w:t>
      </w:r>
      <w:r w:rsidRPr="00D024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0240A">
        <w:rPr>
          <w:sz w:val="24"/>
          <w:szCs w:val="24"/>
        </w:rPr>
        <w:t>Lin</w:t>
      </w:r>
      <w:r>
        <w:rPr>
          <w:sz w:val="24"/>
          <w:szCs w:val="24"/>
        </w:rPr>
        <w:t xml:space="preserve"> Z. </w:t>
      </w:r>
      <w:r w:rsidRPr="00D0240A">
        <w:rPr>
          <w:sz w:val="24"/>
          <w:szCs w:val="24"/>
        </w:rPr>
        <w:t>Structural insights of the toxin-antitoxin system VPA0770-VPA0769 in Vibrio parahaemolyticus.</w:t>
      </w:r>
      <w:r>
        <w:rPr>
          <w:sz w:val="24"/>
          <w:szCs w:val="24"/>
        </w:rPr>
        <w:t xml:space="preserve"> </w:t>
      </w:r>
      <w:r w:rsidR="00C954D7" w:rsidRPr="00C954D7">
        <w:rPr>
          <w:b/>
          <w:bCs/>
          <w:i/>
          <w:iCs/>
          <w:sz w:val="24"/>
          <w:szCs w:val="24"/>
        </w:rPr>
        <w:t xml:space="preserve">Int J Biol </w:t>
      </w:r>
      <w:proofErr w:type="spellStart"/>
      <w:r w:rsidR="00C954D7" w:rsidRPr="00C954D7">
        <w:rPr>
          <w:b/>
          <w:bCs/>
          <w:i/>
          <w:iCs/>
          <w:sz w:val="24"/>
          <w:szCs w:val="24"/>
        </w:rPr>
        <w:t>Macromol</w:t>
      </w:r>
      <w:proofErr w:type="spellEnd"/>
      <w:r w:rsidR="00C954D7">
        <w:rPr>
          <w:b/>
          <w:bCs/>
          <w:i/>
          <w:iCs/>
          <w:sz w:val="24"/>
          <w:szCs w:val="24"/>
        </w:rPr>
        <w:t xml:space="preserve">, </w:t>
      </w:r>
      <w:r w:rsidR="00C954D7">
        <w:rPr>
          <w:sz w:val="24"/>
          <w:szCs w:val="24"/>
        </w:rPr>
        <w:t xml:space="preserve">2023. </w:t>
      </w:r>
      <w:r w:rsidR="00C954D7" w:rsidRPr="00C954D7">
        <w:rPr>
          <w:b/>
          <w:bCs/>
          <w:sz w:val="24"/>
          <w:szCs w:val="24"/>
        </w:rPr>
        <w:t>(Impact factor: 8.025)</w:t>
      </w:r>
    </w:p>
    <w:p w14:paraId="2DB52E55" w14:textId="4EFD5094" w:rsidR="00493549" w:rsidRDefault="00491925" w:rsidP="00493549">
      <w:pPr>
        <w:pStyle w:val="a3"/>
        <w:widowControl w:val="0"/>
        <w:numPr>
          <w:ilvl w:val="0"/>
          <w:numId w:val="2"/>
        </w:numPr>
        <w:adjustRightInd w:val="0"/>
        <w:spacing w:line="276" w:lineRule="auto"/>
        <w:contextualSpacing w:val="0"/>
        <w:jc w:val="both"/>
        <w:outlineLvl w:val="0"/>
        <w:rPr>
          <w:sz w:val="24"/>
          <w:szCs w:val="24"/>
        </w:rPr>
      </w:pPr>
      <w:r w:rsidRPr="00491925">
        <w:rPr>
          <w:rFonts w:eastAsiaTheme="minorEastAsia"/>
          <w:sz w:val="24"/>
          <w:szCs w:val="24"/>
          <w:lang w:eastAsia="zh-CN"/>
        </w:rPr>
        <w:t>Yu S</w:t>
      </w:r>
      <w:r w:rsidR="00493549">
        <w:rPr>
          <w:rFonts w:eastAsiaTheme="minorEastAsia"/>
          <w:sz w:val="24"/>
          <w:szCs w:val="24"/>
          <w:lang w:eastAsia="zh-CN"/>
        </w:rPr>
        <w:t xml:space="preserve">, Li DJ, </w:t>
      </w:r>
      <w:r w:rsidR="00493549" w:rsidRPr="00493549">
        <w:rPr>
          <w:rFonts w:eastAsiaTheme="minorEastAsia"/>
          <w:b/>
          <w:bCs/>
          <w:sz w:val="24"/>
          <w:szCs w:val="24"/>
          <w:u w:val="single"/>
          <w:lang w:eastAsia="zh-CN"/>
        </w:rPr>
        <w:t>Zhang N</w:t>
      </w:r>
      <w:r w:rsidR="00493549" w:rsidRPr="00493549">
        <w:rPr>
          <w:b/>
          <w:sz w:val="24"/>
          <w:szCs w:val="24"/>
          <w:u w:val="single"/>
          <w:vertAlign w:val="superscript"/>
        </w:rPr>
        <w:t>#</w:t>
      </w:r>
      <w:r w:rsidR="00493549">
        <w:rPr>
          <w:rFonts w:eastAsiaTheme="minorEastAsia"/>
          <w:sz w:val="24"/>
          <w:szCs w:val="24"/>
          <w:lang w:eastAsia="zh-CN"/>
        </w:rPr>
        <w:t>, Ni SJ, Sun MH, Wang LY, Xiao H, Liu DD, Liu J, Yu YY, Zhang ZK, Yeung Samuel, Zhang S, Lu AP, Zhang ZL, Zhang BT, Zhang G.</w:t>
      </w:r>
      <w:r w:rsidRPr="00491925">
        <w:rPr>
          <w:rFonts w:eastAsiaTheme="minorEastAsia"/>
          <w:sz w:val="24"/>
          <w:szCs w:val="24"/>
          <w:lang w:eastAsia="zh-CN"/>
        </w:rPr>
        <w:t xml:space="preserve"> Drug discovery of sclerostin inhibitors. </w:t>
      </w:r>
      <w:r w:rsidRPr="00491925">
        <w:rPr>
          <w:rFonts w:eastAsiaTheme="minorEastAsia"/>
          <w:b/>
          <w:bCs/>
          <w:i/>
          <w:iCs/>
          <w:sz w:val="24"/>
          <w:szCs w:val="24"/>
          <w:lang w:eastAsia="zh-CN"/>
        </w:rPr>
        <w:t>Acta Pharm Sin B</w:t>
      </w:r>
      <w:r w:rsidRPr="00491925">
        <w:rPr>
          <w:rFonts w:eastAsiaTheme="minorEastAsia"/>
          <w:sz w:val="24"/>
          <w:szCs w:val="24"/>
          <w:lang w:eastAsia="zh-CN"/>
        </w:rPr>
        <w:t>, 2022.</w:t>
      </w:r>
      <w:r w:rsidR="00493549">
        <w:rPr>
          <w:rFonts w:eastAsiaTheme="minorEastAsia"/>
          <w:sz w:val="24"/>
          <w:szCs w:val="24"/>
          <w:lang w:eastAsia="zh-CN"/>
        </w:rPr>
        <w:t xml:space="preserve"> </w:t>
      </w:r>
      <w:r w:rsidR="00493549" w:rsidRPr="008F130D">
        <w:rPr>
          <w:b/>
          <w:bCs/>
          <w:sz w:val="24"/>
          <w:szCs w:val="24"/>
        </w:rPr>
        <w:t>(Impact factor: 1</w:t>
      </w:r>
      <w:r w:rsidR="00CA536D">
        <w:rPr>
          <w:b/>
          <w:bCs/>
          <w:sz w:val="24"/>
          <w:szCs w:val="24"/>
        </w:rPr>
        <w:t>4.90</w:t>
      </w:r>
      <w:r w:rsidR="00493549" w:rsidRPr="008F130D">
        <w:rPr>
          <w:b/>
          <w:bCs/>
          <w:sz w:val="24"/>
          <w:szCs w:val="24"/>
        </w:rPr>
        <w:t>)</w:t>
      </w:r>
    </w:p>
    <w:p w14:paraId="45B08007" w14:textId="77777777" w:rsidR="008F130D" w:rsidRDefault="008F130D" w:rsidP="008F130D">
      <w:pPr>
        <w:pStyle w:val="a3"/>
        <w:widowControl w:val="0"/>
        <w:numPr>
          <w:ilvl w:val="0"/>
          <w:numId w:val="2"/>
        </w:numPr>
        <w:adjustRightInd w:val="0"/>
        <w:spacing w:line="276" w:lineRule="auto"/>
        <w:contextualSpacing w:val="0"/>
        <w:jc w:val="both"/>
        <w:outlineLvl w:val="0"/>
        <w:rPr>
          <w:sz w:val="24"/>
          <w:szCs w:val="24"/>
        </w:rPr>
      </w:pPr>
      <w:r w:rsidRPr="002B1B99">
        <w:rPr>
          <w:sz w:val="24"/>
          <w:szCs w:val="24"/>
        </w:rPr>
        <w:t>Yu Y,</w:t>
      </w:r>
      <w:r>
        <w:rPr>
          <w:sz w:val="24"/>
          <w:szCs w:val="24"/>
        </w:rPr>
        <w:t xml:space="preserve"> Wang LY, Ni SJ, Li DJ, Liu J, Chu HY, </w:t>
      </w:r>
      <w:r w:rsidRPr="00AE621F">
        <w:rPr>
          <w:b/>
          <w:bCs/>
          <w:sz w:val="24"/>
          <w:szCs w:val="24"/>
          <w:u w:val="single"/>
        </w:rPr>
        <w:t>Zhang N</w:t>
      </w:r>
      <w:r>
        <w:rPr>
          <w:sz w:val="24"/>
          <w:szCs w:val="24"/>
        </w:rPr>
        <w:t xml:space="preserve">, Sun MH, Li NX, Ren Q, </w:t>
      </w:r>
      <w:proofErr w:type="spellStart"/>
      <w:r>
        <w:rPr>
          <w:sz w:val="24"/>
          <w:szCs w:val="24"/>
        </w:rPr>
        <w:t>Zhuo</w:t>
      </w:r>
      <w:proofErr w:type="spellEnd"/>
      <w:r>
        <w:rPr>
          <w:sz w:val="24"/>
          <w:szCs w:val="24"/>
        </w:rPr>
        <w:t xml:space="preserve"> ZJ, Zhong CX, </w:t>
      </w:r>
      <w:proofErr w:type="spellStart"/>
      <w:r>
        <w:rPr>
          <w:sz w:val="24"/>
          <w:szCs w:val="24"/>
        </w:rPr>
        <w:t>Xie</w:t>
      </w:r>
      <w:proofErr w:type="spellEnd"/>
      <w:r>
        <w:rPr>
          <w:sz w:val="24"/>
          <w:szCs w:val="24"/>
        </w:rPr>
        <w:t xml:space="preserve"> DL, Li YS, ZHANG ZK, Zhang HR, Li M, Zhang ZL, Chen L, Pan XH, Xia WB, Zhang S, Lu AP, </w:t>
      </w:r>
      <w:r w:rsidRPr="00543904">
        <w:rPr>
          <w:rFonts w:eastAsia="等线"/>
          <w:sz w:val="24"/>
          <w:szCs w:val="24"/>
          <w:lang w:eastAsia="zh-CN"/>
        </w:rPr>
        <w:t>Zhang BT, Zhang G</w:t>
      </w:r>
      <w:r w:rsidRPr="00543904">
        <w:rPr>
          <w:rFonts w:eastAsia="等线"/>
          <w:sz w:val="24"/>
          <w:szCs w:val="24"/>
        </w:rPr>
        <w:t>.</w:t>
      </w:r>
      <w:r w:rsidRPr="002B1B99">
        <w:rPr>
          <w:sz w:val="24"/>
          <w:szCs w:val="24"/>
        </w:rPr>
        <w:t xml:space="preserve"> Targeting loop3 of sclerostin preserves its cardiovascular protective action and promotes bone formation. </w:t>
      </w:r>
      <w:r w:rsidRPr="00A46D24">
        <w:rPr>
          <w:b/>
          <w:bCs/>
          <w:i/>
          <w:iCs/>
          <w:sz w:val="24"/>
          <w:szCs w:val="24"/>
        </w:rPr>
        <w:t xml:space="preserve">Nat </w:t>
      </w:r>
      <w:proofErr w:type="spellStart"/>
      <w:r w:rsidRPr="00A46D24">
        <w:rPr>
          <w:b/>
          <w:bCs/>
          <w:i/>
          <w:iCs/>
          <w:sz w:val="24"/>
          <w:szCs w:val="24"/>
        </w:rPr>
        <w:t>Commun</w:t>
      </w:r>
      <w:proofErr w:type="spellEnd"/>
      <w:r w:rsidRPr="002B1B99">
        <w:rPr>
          <w:sz w:val="24"/>
          <w:szCs w:val="24"/>
        </w:rPr>
        <w:t>, 2022. 13(1): p. 4241.</w:t>
      </w:r>
      <w:r>
        <w:rPr>
          <w:sz w:val="24"/>
          <w:szCs w:val="24"/>
        </w:rPr>
        <w:t xml:space="preserve"> </w:t>
      </w:r>
      <w:r w:rsidRPr="00F21D3B">
        <w:rPr>
          <w:sz w:val="24"/>
          <w:szCs w:val="24"/>
        </w:rPr>
        <w:t>(</w:t>
      </w:r>
      <w:r w:rsidRPr="000D5292">
        <w:rPr>
          <w:b/>
          <w:bCs/>
          <w:sz w:val="24"/>
          <w:szCs w:val="24"/>
        </w:rPr>
        <w:t>Impact factor: 17.69</w:t>
      </w:r>
      <w:r w:rsidRPr="00F21D3B">
        <w:rPr>
          <w:sz w:val="24"/>
          <w:szCs w:val="24"/>
        </w:rPr>
        <w:t>)</w:t>
      </w:r>
    </w:p>
    <w:p w14:paraId="5D93A3D8" w14:textId="33874C9B" w:rsidR="008F130D" w:rsidRPr="008F130D" w:rsidRDefault="008F130D" w:rsidP="008F130D">
      <w:pPr>
        <w:pStyle w:val="a3"/>
        <w:widowControl w:val="0"/>
        <w:numPr>
          <w:ilvl w:val="0"/>
          <w:numId w:val="2"/>
        </w:numPr>
        <w:adjustRightInd w:val="0"/>
        <w:spacing w:line="276" w:lineRule="auto"/>
        <w:contextualSpacing w:val="0"/>
        <w:jc w:val="both"/>
        <w:outlineLvl w:val="0"/>
        <w:rPr>
          <w:sz w:val="24"/>
          <w:szCs w:val="24"/>
        </w:rPr>
      </w:pPr>
      <w:r w:rsidRPr="00EE7693">
        <w:rPr>
          <w:sz w:val="24"/>
          <w:szCs w:val="24"/>
        </w:rPr>
        <w:t>Wang L</w:t>
      </w:r>
      <w:r>
        <w:rPr>
          <w:sz w:val="24"/>
          <w:szCs w:val="24"/>
        </w:rPr>
        <w:t>Y</w:t>
      </w:r>
      <w:r w:rsidRPr="00EE7693">
        <w:rPr>
          <w:sz w:val="24"/>
          <w:szCs w:val="24"/>
        </w:rPr>
        <w:t>, Yu, Y, Ni</w:t>
      </w:r>
      <w:r>
        <w:rPr>
          <w:sz w:val="24"/>
          <w:szCs w:val="24"/>
        </w:rPr>
        <w:t xml:space="preserve"> </w:t>
      </w:r>
      <w:r w:rsidRPr="00EE7693">
        <w:rPr>
          <w:sz w:val="24"/>
          <w:szCs w:val="24"/>
        </w:rPr>
        <w:t>S</w:t>
      </w:r>
      <w:r>
        <w:rPr>
          <w:sz w:val="24"/>
          <w:szCs w:val="24"/>
        </w:rPr>
        <w:t>J,</w:t>
      </w:r>
      <w:r w:rsidRPr="00EE7693">
        <w:rPr>
          <w:sz w:val="24"/>
          <w:szCs w:val="24"/>
        </w:rPr>
        <w:t xml:space="preserve"> Li D, Liu J, </w:t>
      </w:r>
      <w:proofErr w:type="spellStart"/>
      <w:r w:rsidRPr="00EE7693">
        <w:rPr>
          <w:sz w:val="24"/>
          <w:szCs w:val="24"/>
        </w:rPr>
        <w:t>Xie</w:t>
      </w:r>
      <w:proofErr w:type="spellEnd"/>
      <w:r w:rsidRPr="00EE7693">
        <w:rPr>
          <w:sz w:val="24"/>
          <w:szCs w:val="24"/>
        </w:rPr>
        <w:t xml:space="preserve"> D</w:t>
      </w:r>
      <w:r>
        <w:rPr>
          <w:sz w:val="24"/>
          <w:szCs w:val="24"/>
        </w:rPr>
        <w:t>L</w:t>
      </w:r>
      <w:r w:rsidRPr="00EE7693">
        <w:rPr>
          <w:sz w:val="24"/>
          <w:szCs w:val="24"/>
        </w:rPr>
        <w:t>, Chu</w:t>
      </w:r>
      <w:r>
        <w:rPr>
          <w:sz w:val="24"/>
          <w:szCs w:val="24"/>
        </w:rPr>
        <w:t xml:space="preserve"> </w:t>
      </w:r>
      <w:r w:rsidRPr="00EE7693">
        <w:rPr>
          <w:sz w:val="24"/>
          <w:szCs w:val="24"/>
        </w:rPr>
        <w:t>HY, Ren</w:t>
      </w:r>
      <w:r>
        <w:rPr>
          <w:sz w:val="24"/>
          <w:szCs w:val="24"/>
        </w:rPr>
        <w:t xml:space="preserve"> </w:t>
      </w:r>
      <w:r w:rsidRPr="00EE7693">
        <w:rPr>
          <w:sz w:val="24"/>
          <w:szCs w:val="24"/>
        </w:rPr>
        <w:t>Q, Zhong</w:t>
      </w:r>
      <w:r>
        <w:rPr>
          <w:sz w:val="24"/>
          <w:szCs w:val="24"/>
        </w:rPr>
        <w:t xml:space="preserve"> </w:t>
      </w:r>
      <w:r w:rsidRPr="00EE7693">
        <w:rPr>
          <w:sz w:val="24"/>
          <w:szCs w:val="24"/>
        </w:rPr>
        <w:t>C</w:t>
      </w:r>
      <w:r>
        <w:rPr>
          <w:sz w:val="24"/>
          <w:szCs w:val="24"/>
        </w:rPr>
        <w:t>X</w:t>
      </w:r>
      <w:r w:rsidRPr="00EE7693">
        <w:rPr>
          <w:sz w:val="24"/>
          <w:szCs w:val="24"/>
        </w:rPr>
        <w:t xml:space="preserve">, </w:t>
      </w:r>
      <w:r w:rsidRPr="00EE7693">
        <w:rPr>
          <w:b/>
          <w:bCs/>
          <w:sz w:val="24"/>
          <w:szCs w:val="24"/>
          <w:u w:val="single"/>
        </w:rPr>
        <w:t>Zhang N</w:t>
      </w:r>
      <w:r w:rsidRPr="00EE7693">
        <w:rPr>
          <w:sz w:val="24"/>
          <w:szCs w:val="24"/>
        </w:rPr>
        <w:t>, Li N, Sun</w:t>
      </w:r>
      <w:r>
        <w:rPr>
          <w:sz w:val="24"/>
          <w:szCs w:val="24"/>
        </w:rPr>
        <w:t xml:space="preserve"> </w:t>
      </w:r>
      <w:r w:rsidRPr="00EE7693">
        <w:rPr>
          <w:sz w:val="24"/>
          <w:szCs w:val="24"/>
        </w:rPr>
        <w:t>M</w:t>
      </w:r>
      <w:r>
        <w:rPr>
          <w:sz w:val="24"/>
          <w:szCs w:val="24"/>
        </w:rPr>
        <w:t>H</w:t>
      </w:r>
      <w:r w:rsidRPr="00EE7693">
        <w:rPr>
          <w:sz w:val="24"/>
          <w:szCs w:val="24"/>
        </w:rPr>
        <w:t xml:space="preserve">, Zhang ZK, </w:t>
      </w:r>
      <w:proofErr w:type="spellStart"/>
      <w:r w:rsidRPr="00EE7693">
        <w:rPr>
          <w:sz w:val="24"/>
          <w:szCs w:val="24"/>
        </w:rPr>
        <w:t>Zhuo</w:t>
      </w:r>
      <w:proofErr w:type="spellEnd"/>
      <w:r w:rsidRPr="00EE7693">
        <w:rPr>
          <w:sz w:val="24"/>
          <w:szCs w:val="24"/>
        </w:rPr>
        <w:t xml:space="preserve"> Z</w:t>
      </w:r>
      <w:r>
        <w:rPr>
          <w:sz w:val="24"/>
          <w:szCs w:val="24"/>
        </w:rPr>
        <w:t>J</w:t>
      </w:r>
      <w:r w:rsidRPr="00EE7693">
        <w:rPr>
          <w:sz w:val="24"/>
          <w:szCs w:val="24"/>
        </w:rPr>
        <w:t>, Zhang H</w:t>
      </w:r>
      <w:r>
        <w:rPr>
          <w:sz w:val="24"/>
          <w:szCs w:val="24"/>
        </w:rPr>
        <w:t>R</w:t>
      </w:r>
      <w:r w:rsidRPr="00EE7693">
        <w:rPr>
          <w:sz w:val="24"/>
          <w:szCs w:val="24"/>
        </w:rPr>
        <w:t>, Zhang S, Li M, Xia W, Zhang Z</w:t>
      </w:r>
      <w:r>
        <w:rPr>
          <w:sz w:val="24"/>
          <w:szCs w:val="24"/>
        </w:rPr>
        <w:t>L</w:t>
      </w:r>
      <w:r w:rsidRPr="00EE7693">
        <w:rPr>
          <w:sz w:val="24"/>
          <w:szCs w:val="24"/>
        </w:rPr>
        <w:t>, Chen L, Shang P, Pan</w:t>
      </w:r>
      <w:r>
        <w:rPr>
          <w:sz w:val="24"/>
          <w:szCs w:val="24"/>
        </w:rPr>
        <w:t xml:space="preserve"> </w:t>
      </w:r>
      <w:r w:rsidRPr="00EE7693">
        <w:rPr>
          <w:sz w:val="24"/>
          <w:szCs w:val="24"/>
        </w:rPr>
        <w:t>X</w:t>
      </w:r>
      <w:r>
        <w:rPr>
          <w:sz w:val="24"/>
          <w:szCs w:val="24"/>
        </w:rPr>
        <w:t>H</w:t>
      </w:r>
      <w:r w:rsidRPr="00EE7693">
        <w:rPr>
          <w:sz w:val="24"/>
          <w:szCs w:val="24"/>
        </w:rPr>
        <w:t>, Lu A</w:t>
      </w:r>
      <w:r>
        <w:rPr>
          <w:sz w:val="24"/>
          <w:szCs w:val="24"/>
        </w:rPr>
        <w:t>P</w:t>
      </w:r>
      <w:r w:rsidRPr="00EE7693">
        <w:rPr>
          <w:sz w:val="24"/>
          <w:szCs w:val="24"/>
        </w:rPr>
        <w:t>, Zhang BT</w:t>
      </w:r>
      <w:r>
        <w:rPr>
          <w:sz w:val="24"/>
          <w:szCs w:val="24"/>
        </w:rPr>
        <w:t>,</w:t>
      </w:r>
      <w:r w:rsidRPr="00EE7693">
        <w:rPr>
          <w:sz w:val="24"/>
          <w:szCs w:val="24"/>
        </w:rPr>
        <w:t xml:space="preserve"> Zhang G. Therapeutic aptamer targeting sclerostin loop3 for promoting bone formation without increasing cardiovascular risk in osteogenesis imperfecta mice. </w:t>
      </w:r>
      <w:proofErr w:type="spellStart"/>
      <w:r w:rsidRPr="00EE7693">
        <w:rPr>
          <w:b/>
          <w:bCs/>
          <w:i/>
          <w:iCs/>
          <w:sz w:val="24"/>
          <w:szCs w:val="24"/>
        </w:rPr>
        <w:t>Theranostics</w:t>
      </w:r>
      <w:proofErr w:type="spellEnd"/>
      <w:r>
        <w:rPr>
          <w:sz w:val="24"/>
          <w:szCs w:val="24"/>
        </w:rPr>
        <w:t xml:space="preserve">, </w:t>
      </w:r>
      <w:r w:rsidRPr="00EE7693">
        <w:rPr>
          <w:sz w:val="24"/>
          <w:szCs w:val="24"/>
        </w:rPr>
        <w:t>2022</w:t>
      </w:r>
      <w:r>
        <w:rPr>
          <w:sz w:val="24"/>
          <w:szCs w:val="24"/>
        </w:rPr>
        <w:t>.</w:t>
      </w:r>
      <w:r w:rsidRPr="008F130D">
        <w:t xml:space="preserve"> </w:t>
      </w:r>
      <w:r w:rsidRPr="008F130D">
        <w:rPr>
          <w:sz w:val="24"/>
          <w:szCs w:val="24"/>
        </w:rPr>
        <w:t xml:space="preserve">12(13), 5645–5674. </w:t>
      </w:r>
      <w:r w:rsidRPr="00EE7693">
        <w:rPr>
          <w:sz w:val="24"/>
          <w:szCs w:val="24"/>
        </w:rPr>
        <w:t>(</w:t>
      </w:r>
      <w:r w:rsidRPr="000D5292">
        <w:rPr>
          <w:b/>
          <w:bCs/>
          <w:sz w:val="24"/>
          <w:szCs w:val="24"/>
        </w:rPr>
        <w:t>Impact factor: 1</w:t>
      </w:r>
      <w:r>
        <w:rPr>
          <w:b/>
          <w:bCs/>
          <w:sz w:val="24"/>
          <w:szCs w:val="24"/>
        </w:rPr>
        <w:t>1.60</w:t>
      </w:r>
      <w:r w:rsidRPr="00EE7693">
        <w:rPr>
          <w:sz w:val="24"/>
          <w:szCs w:val="24"/>
        </w:rPr>
        <w:t>)</w:t>
      </w:r>
    </w:p>
    <w:p w14:paraId="6A0ADF66" w14:textId="26A0B24B" w:rsidR="005C302C" w:rsidRPr="008F130D" w:rsidRDefault="005C302C" w:rsidP="005C302C">
      <w:pPr>
        <w:pStyle w:val="a3"/>
        <w:widowControl w:val="0"/>
        <w:numPr>
          <w:ilvl w:val="0"/>
          <w:numId w:val="2"/>
        </w:numPr>
        <w:adjustRightInd w:val="0"/>
        <w:spacing w:line="276" w:lineRule="auto"/>
        <w:contextualSpacing w:val="0"/>
        <w:jc w:val="both"/>
        <w:outlineLvl w:val="0"/>
        <w:rPr>
          <w:b/>
          <w:bCs/>
          <w:sz w:val="24"/>
          <w:szCs w:val="24"/>
        </w:rPr>
      </w:pPr>
      <w:r w:rsidRPr="005C302C">
        <w:rPr>
          <w:rFonts w:eastAsiaTheme="minorEastAsia"/>
          <w:b/>
          <w:bCs/>
          <w:sz w:val="24"/>
          <w:szCs w:val="24"/>
          <w:u w:val="single"/>
          <w:lang w:eastAsia="zh-CN"/>
        </w:rPr>
        <w:t>Zhang N</w:t>
      </w:r>
      <w:r>
        <w:rPr>
          <w:rFonts w:eastAsiaTheme="minorEastAsia"/>
          <w:sz w:val="24"/>
          <w:szCs w:val="24"/>
          <w:lang w:eastAsia="zh-CN"/>
        </w:rPr>
        <w:t xml:space="preserve">, </w:t>
      </w:r>
      <w:proofErr w:type="spellStart"/>
      <w:r w:rsidRPr="005C302C">
        <w:rPr>
          <w:rFonts w:eastAsiaTheme="minorEastAsia"/>
          <w:sz w:val="24"/>
          <w:szCs w:val="24"/>
          <w:lang w:eastAsia="zh-CN"/>
        </w:rPr>
        <w:t>Kisiswa</w:t>
      </w:r>
      <w:proofErr w:type="spellEnd"/>
      <w:r w:rsidRPr="005C302C">
        <w:rPr>
          <w:rFonts w:eastAsiaTheme="minorEastAsia"/>
          <w:sz w:val="24"/>
          <w:szCs w:val="24"/>
          <w:lang w:eastAsia="zh-CN"/>
        </w:rPr>
        <w:t xml:space="preserve"> L, Ramanujan A, Li Z, Sim E. W., Tian X, Yuan W, Ibáñez C. F., Lin Z. Structural basis of NF-</w:t>
      </w:r>
      <w:proofErr w:type="spellStart"/>
      <w:r w:rsidRPr="005C302C">
        <w:rPr>
          <w:rFonts w:eastAsiaTheme="minorEastAsia"/>
          <w:sz w:val="24"/>
          <w:szCs w:val="24"/>
          <w:lang w:eastAsia="zh-CN"/>
        </w:rPr>
        <w:t>κB</w:t>
      </w:r>
      <w:proofErr w:type="spellEnd"/>
      <w:r w:rsidRPr="005C302C">
        <w:rPr>
          <w:rFonts w:eastAsiaTheme="minorEastAsia"/>
          <w:sz w:val="24"/>
          <w:szCs w:val="24"/>
          <w:lang w:eastAsia="zh-CN"/>
        </w:rPr>
        <w:t xml:space="preserve"> signaling by the p75 </w:t>
      </w:r>
      <w:proofErr w:type="spellStart"/>
      <w:r w:rsidRPr="005C302C">
        <w:rPr>
          <w:rFonts w:eastAsiaTheme="minorEastAsia"/>
          <w:sz w:val="24"/>
          <w:szCs w:val="24"/>
          <w:lang w:eastAsia="zh-CN"/>
        </w:rPr>
        <w:t>neurotrophin</w:t>
      </w:r>
      <w:proofErr w:type="spellEnd"/>
      <w:r w:rsidRPr="005C302C">
        <w:rPr>
          <w:rFonts w:eastAsiaTheme="minorEastAsia"/>
          <w:sz w:val="24"/>
          <w:szCs w:val="24"/>
          <w:lang w:eastAsia="zh-CN"/>
        </w:rPr>
        <w:t xml:space="preserve"> receptor interaction with adaptor protein TRADD through their respective death domains.</w:t>
      </w:r>
      <w:r w:rsidRPr="005C302C">
        <w:rPr>
          <w:rFonts w:eastAsiaTheme="minorEastAsia"/>
          <w:b/>
          <w:bCs/>
          <w:i/>
          <w:iCs/>
          <w:sz w:val="24"/>
          <w:szCs w:val="24"/>
          <w:lang w:eastAsia="zh-CN"/>
        </w:rPr>
        <w:t xml:space="preserve"> J Biol Chem</w:t>
      </w:r>
      <w:r w:rsidRPr="005C302C">
        <w:rPr>
          <w:rFonts w:eastAsiaTheme="minorEastAsia"/>
          <w:sz w:val="24"/>
          <w:szCs w:val="24"/>
          <w:lang w:eastAsia="zh-CN"/>
        </w:rPr>
        <w:t>, 2021</w:t>
      </w:r>
      <w:r w:rsidR="00024D1C">
        <w:rPr>
          <w:rFonts w:eastAsiaTheme="minorEastAsia"/>
          <w:sz w:val="24"/>
          <w:szCs w:val="24"/>
          <w:lang w:eastAsia="zh-CN"/>
        </w:rPr>
        <w:t>,</w:t>
      </w:r>
      <w:r w:rsidRPr="005C302C">
        <w:rPr>
          <w:rFonts w:eastAsiaTheme="minorEastAsia"/>
          <w:sz w:val="24"/>
          <w:szCs w:val="24"/>
          <w:lang w:eastAsia="zh-CN"/>
        </w:rPr>
        <w:t xml:space="preserve"> 297(2): p.100916.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Pr="008F130D">
        <w:rPr>
          <w:b/>
          <w:bCs/>
          <w:sz w:val="24"/>
          <w:szCs w:val="24"/>
        </w:rPr>
        <w:t>(Impact factor: 5.</w:t>
      </w:r>
      <w:r w:rsidR="002E7A02">
        <w:rPr>
          <w:b/>
          <w:bCs/>
          <w:sz w:val="24"/>
          <w:szCs w:val="24"/>
        </w:rPr>
        <w:t>485</w:t>
      </w:r>
      <w:r w:rsidRPr="008F130D">
        <w:rPr>
          <w:b/>
          <w:bCs/>
          <w:sz w:val="24"/>
          <w:szCs w:val="24"/>
        </w:rPr>
        <w:t>)</w:t>
      </w:r>
    </w:p>
    <w:p w14:paraId="00338704" w14:textId="703F9515" w:rsidR="00491925" w:rsidRPr="005C302C" w:rsidRDefault="00155FF3" w:rsidP="005C302C">
      <w:pPr>
        <w:pStyle w:val="a3"/>
        <w:widowControl w:val="0"/>
        <w:numPr>
          <w:ilvl w:val="0"/>
          <w:numId w:val="2"/>
        </w:numPr>
        <w:adjustRightInd w:val="0"/>
        <w:spacing w:line="276" w:lineRule="auto"/>
        <w:rPr>
          <w:rFonts w:eastAsiaTheme="minorEastAsia"/>
          <w:sz w:val="24"/>
          <w:szCs w:val="24"/>
          <w:lang w:eastAsia="zh-CN"/>
        </w:rPr>
      </w:pPr>
      <w:r w:rsidRPr="00024D1C">
        <w:rPr>
          <w:rFonts w:eastAsiaTheme="minorEastAsia"/>
          <w:b/>
          <w:bCs/>
          <w:sz w:val="24"/>
          <w:szCs w:val="24"/>
          <w:u w:val="single"/>
          <w:lang w:eastAsia="zh-CN"/>
        </w:rPr>
        <w:t>Zhang N</w:t>
      </w:r>
      <w:r w:rsidRPr="00155FF3">
        <w:rPr>
          <w:rFonts w:eastAsiaTheme="minorEastAsia"/>
          <w:sz w:val="24"/>
          <w:szCs w:val="24"/>
          <w:lang w:eastAsia="zh-CN"/>
        </w:rPr>
        <w:t>, Chen Z, Liu D, Jiang H, Zhang ZK, Lu A, Zhang BT, Yu Y, Zhang G.</w:t>
      </w:r>
      <w:r w:rsidR="00024D1C">
        <w:rPr>
          <w:rFonts w:eastAsiaTheme="minorEastAsia"/>
          <w:sz w:val="24"/>
          <w:szCs w:val="24"/>
          <w:lang w:eastAsia="zh-CN"/>
        </w:rPr>
        <w:t xml:space="preserve"> </w:t>
      </w:r>
      <w:r w:rsidRPr="00155FF3">
        <w:rPr>
          <w:rFonts w:eastAsiaTheme="minorEastAsia"/>
          <w:sz w:val="24"/>
          <w:szCs w:val="24"/>
          <w:lang w:eastAsia="zh-CN"/>
        </w:rPr>
        <w:t xml:space="preserve">Structural Biology for the Molecular Insight between Aptamers and Target Proteins. </w:t>
      </w:r>
      <w:r w:rsidRPr="00024D1C">
        <w:rPr>
          <w:rFonts w:eastAsiaTheme="minorEastAsia"/>
          <w:b/>
          <w:bCs/>
          <w:i/>
          <w:iCs/>
          <w:sz w:val="24"/>
          <w:szCs w:val="24"/>
          <w:lang w:eastAsia="zh-CN"/>
        </w:rPr>
        <w:t xml:space="preserve">Int </w:t>
      </w:r>
      <w:r w:rsidR="00024D1C" w:rsidRPr="00024D1C">
        <w:rPr>
          <w:rFonts w:eastAsiaTheme="minorEastAsia"/>
          <w:b/>
          <w:bCs/>
          <w:i/>
          <w:iCs/>
          <w:sz w:val="24"/>
          <w:szCs w:val="24"/>
          <w:lang w:eastAsia="zh-CN"/>
        </w:rPr>
        <w:t>J M</w:t>
      </w:r>
      <w:r w:rsidRPr="00024D1C">
        <w:rPr>
          <w:rFonts w:eastAsiaTheme="minorEastAsia"/>
          <w:b/>
          <w:bCs/>
          <w:i/>
          <w:iCs/>
          <w:sz w:val="24"/>
          <w:szCs w:val="24"/>
          <w:lang w:eastAsia="zh-CN"/>
        </w:rPr>
        <w:t xml:space="preserve">ol </w:t>
      </w:r>
      <w:r w:rsidR="00024D1C" w:rsidRPr="00024D1C">
        <w:rPr>
          <w:rFonts w:eastAsiaTheme="minorEastAsia"/>
          <w:b/>
          <w:bCs/>
          <w:i/>
          <w:iCs/>
          <w:sz w:val="24"/>
          <w:szCs w:val="24"/>
          <w:lang w:eastAsia="zh-CN"/>
        </w:rPr>
        <w:t>S</w:t>
      </w:r>
      <w:r w:rsidRPr="00024D1C">
        <w:rPr>
          <w:rFonts w:eastAsiaTheme="minorEastAsia"/>
          <w:b/>
          <w:bCs/>
          <w:i/>
          <w:iCs/>
          <w:sz w:val="24"/>
          <w:szCs w:val="24"/>
          <w:lang w:eastAsia="zh-CN"/>
        </w:rPr>
        <w:t>ci</w:t>
      </w:r>
      <w:r w:rsidRPr="00155FF3">
        <w:rPr>
          <w:rFonts w:eastAsiaTheme="minorEastAsia"/>
          <w:sz w:val="24"/>
          <w:szCs w:val="24"/>
          <w:lang w:eastAsia="zh-CN"/>
        </w:rPr>
        <w:t xml:space="preserve">, </w:t>
      </w:r>
      <w:r w:rsidR="00024D1C" w:rsidRPr="00155FF3">
        <w:rPr>
          <w:rFonts w:eastAsiaTheme="minorEastAsia"/>
          <w:sz w:val="24"/>
          <w:szCs w:val="24"/>
          <w:lang w:eastAsia="zh-CN"/>
        </w:rPr>
        <w:t>2021</w:t>
      </w:r>
      <w:r w:rsidR="00024D1C">
        <w:rPr>
          <w:rFonts w:eastAsiaTheme="minorEastAsia"/>
          <w:sz w:val="24"/>
          <w:szCs w:val="24"/>
          <w:lang w:eastAsia="zh-CN"/>
        </w:rPr>
        <w:t xml:space="preserve">, </w:t>
      </w:r>
      <w:r w:rsidRPr="00155FF3">
        <w:rPr>
          <w:rFonts w:eastAsiaTheme="minorEastAsia"/>
          <w:sz w:val="24"/>
          <w:szCs w:val="24"/>
          <w:lang w:eastAsia="zh-CN"/>
        </w:rPr>
        <w:t>22(8), 4093.</w:t>
      </w:r>
      <w:r w:rsidR="00024D1C">
        <w:rPr>
          <w:rFonts w:eastAsiaTheme="minorEastAsia"/>
          <w:sz w:val="24"/>
          <w:szCs w:val="24"/>
          <w:lang w:eastAsia="zh-CN"/>
        </w:rPr>
        <w:t xml:space="preserve"> </w:t>
      </w:r>
      <w:r w:rsidR="00024D1C" w:rsidRPr="008F130D">
        <w:rPr>
          <w:b/>
          <w:bCs/>
          <w:sz w:val="24"/>
          <w:szCs w:val="24"/>
        </w:rPr>
        <w:t xml:space="preserve">(Impact factor: </w:t>
      </w:r>
      <w:r w:rsidR="002E7A02">
        <w:rPr>
          <w:b/>
          <w:bCs/>
          <w:sz w:val="24"/>
          <w:szCs w:val="24"/>
        </w:rPr>
        <w:t>6.208</w:t>
      </w:r>
      <w:r w:rsidR="00024D1C" w:rsidRPr="008F130D">
        <w:rPr>
          <w:b/>
          <w:bCs/>
          <w:sz w:val="24"/>
          <w:szCs w:val="24"/>
        </w:rPr>
        <w:t>)</w:t>
      </w:r>
    </w:p>
    <w:p w14:paraId="064CCE69" w14:textId="36FA3B93" w:rsidR="00B24F75" w:rsidRPr="008F130D" w:rsidRDefault="00B24F75" w:rsidP="00E86AD4">
      <w:pPr>
        <w:pStyle w:val="a3"/>
        <w:widowControl w:val="0"/>
        <w:numPr>
          <w:ilvl w:val="0"/>
          <w:numId w:val="2"/>
        </w:numPr>
        <w:adjustRightInd w:val="0"/>
        <w:spacing w:line="276" w:lineRule="auto"/>
        <w:contextualSpacing w:val="0"/>
        <w:jc w:val="both"/>
        <w:outlineLvl w:val="0"/>
        <w:rPr>
          <w:b/>
          <w:bCs/>
          <w:sz w:val="24"/>
          <w:szCs w:val="24"/>
        </w:rPr>
      </w:pPr>
      <w:r w:rsidRPr="00B24F75">
        <w:rPr>
          <w:sz w:val="24"/>
          <w:szCs w:val="24"/>
        </w:rPr>
        <w:t xml:space="preserve">Chen Z, </w:t>
      </w:r>
      <w:r w:rsidRPr="00B24F75">
        <w:rPr>
          <w:b/>
          <w:bCs/>
          <w:sz w:val="24"/>
          <w:szCs w:val="24"/>
          <w:u w:val="single"/>
        </w:rPr>
        <w:t>Zhang N</w:t>
      </w:r>
      <w:r w:rsidRPr="00B24F75">
        <w:rPr>
          <w:sz w:val="24"/>
          <w:szCs w:val="24"/>
        </w:rPr>
        <w:t xml:space="preserve">, Chu HY, Yu Y, Zhang ZK, Zhang G, Zhang BT. Connective Tissue Growth Factor: From Molecular Understandings to Drug Discovery. </w:t>
      </w:r>
      <w:r w:rsidRPr="003267BB">
        <w:rPr>
          <w:b/>
          <w:i/>
          <w:sz w:val="24"/>
          <w:szCs w:val="24"/>
        </w:rPr>
        <w:t>Front</w:t>
      </w:r>
      <w:r w:rsidR="00024D1C">
        <w:rPr>
          <w:b/>
          <w:i/>
          <w:sz w:val="24"/>
          <w:szCs w:val="24"/>
        </w:rPr>
        <w:t xml:space="preserve"> </w:t>
      </w:r>
      <w:r w:rsidRPr="003267BB">
        <w:rPr>
          <w:b/>
          <w:i/>
          <w:sz w:val="24"/>
          <w:szCs w:val="24"/>
        </w:rPr>
        <w:t>Cell Dev Biol</w:t>
      </w:r>
      <w:r w:rsidR="00024D1C">
        <w:rPr>
          <w:b/>
          <w:i/>
          <w:sz w:val="24"/>
          <w:szCs w:val="24"/>
        </w:rPr>
        <w:t>,</w:t>
      </w:r>
      <w:r w:rsidR="00024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2020; 8:593269. </w:t>
      </w:r>
      <w:r w:rsidRPr="008F130D">
        <w:rPr>
          <w:b/>
          <w:bCs/>
          <w:sz w:val="24"/>
          <w:szCs w:val="24"/>
        </w:rPr>
        <w:t xml:space="preserve">(Impact factor: </w:t>
      </w:r>
      <w:r w:rsidR="002E7A02">
        <w:rPr>
          <w:b/>
          <w:bCs/>
          <w:sz w:val="24"/>
          <w:szCs w:val="24"/>
        </w:rPr>
        <w:t>6.081</w:t>
      </w:r>
      <w:r w:rsidRPr="008F130D">
        <w:rPr>
          <w:b/>
          <w:bCs/>
          <w:sz w:val="24"/>
          <w:szCs w:val="24"/>
        </w:rPr>
        <w:t>)</w:t>
      </w:r>
    </w:p>
    <w:p w14:paraId="13D02409" w14:textId="007176EA" w:rsidR="003477D0" w:rsidRPr="008F130D" w:rsidRDefault="00E86AD4" w:rsidP="003477D0">
      <w:pPr>
        <w:pStyle w:val="a3"/>
        <w:widowControl w:val="0"/>
        <w:numPr>
          <w:ilvl w:val="0"/>
          <w:numId w:val="2"/>
        </w:numPr>
        <w:adjustRightInd w:val="0"/>
        <w:spacing w:line="276" w:lineRule="auto"/>
        <w:contextualSpacing w:val="0"/>
        <w:jc w:val="both"/>
        <w:outlineLvl w:val="0"/>
        <w:rPr>
          <w:sz w:val="24"/>
          <w:szCs w:val="24"/>
        </w:rPr>
      </w:pPr>
      <w:r w:rsidRPr="00B24F75">
        <w:rPr>
          <w:b/>
          <w:bCs/>
          <w:sz w:val="24"/>
          <w:szCs w:val="24"/>
          <w:u w:val="single"/>
        </w:rPr>
        <w:t>Zhang N</w:t>
      </w:r>
      <w:r w:rsidR="00B24F75" w:rsidRPr="00B24F75">
        <w:rPr>
          <w:b/>
          <w:sz w:val="24"/>
          <w:szCs w:val="24"/>
          <w:u w:val="single"/>
          <w:vertAlign w:val="superscript"/>
        </w:rPr>
        <w:t>#</w:t>
      </w:r>
      <w:r w:rsidRPr="00B24F75">
        <w:rPr>
          <w:sz w:val="24"/>
          <w:szCs w:val="24"/>
        </w:rPr>
        <w:t xml:space="preserve">, </w:t>
      </w:r>
      <w:r w:rsidRPr="00B24F75">
        <w:rPr>
          <w:bCs/>
          <w:sz w:val="24"/>
          <w:szCs w:val="24"/>
        </w:rPr>
        <w:t>Zhang ZK</w:t>
      </w:r>
      <w:r w:rsidRPr="00B24F75">
        <w:rPr>
          <w:sz w:val="24"/>
          <w:szCs w:val="24"/>
        </w:rPr>
        <w:t>,</w:t>
      </w:r>
      <w:r w:rsidR="00B24F75" w:rsidRPr="00B24F75">
        <w:rPr>
          <w:sz w:val="24"/>
          <w:szCs w:val="24"/>
        </w:rPr>
        <w:t xml:space="preserve"> </w:t>
      </w:r>
      <w:r w:rsidRPr="00B24F75">
        <w:rPr>
          <w:sz w:val="24"/>
          <w:szCs w:val="24"/>
        </w:rPr>
        <w:t xml:space="preserve">Yu Y, </w:t>
      </w:r>
      <w:proofErr w:type="spellStart"/>
      <w:r w:rsidRPr="00B24F75">
        <w:rPr>
          <w:sz w:val="24"/>
          <w:szCs w:val="24"/>
        </w:rPr>
        <w:t>Zhuo</w:t>
      </w:r>
      <w:proofErr w:type="spellEnd"/>
      <w:r w:rsidRPr="00B24F75">
        <w:rPr>
          <w:sz w:val="24"/>
          <w:szCs w:val="24"/>
        </w:rPr>
        <w:t xml:space="preserve"> Z, Zhang G, Zhang BT. Pros and Cons of Denosumab Treatment for Osteoporosis and Implication for RANKL Aptamer Therapy. </w:t>
      </w:r>
      <w:r w:rsidR="00024D1C" w:rsidRPr="003267BB">
        <w:rPr>
          <w:b/>
          <w:i/>
          <w:sz w:val="24"/>
          <w:szCs w:val="24"/>
        </w:rPr>
        <w:t>Front</w:t>
      </w:r>
      <w:r w:rsidR="00024D1C">
        <w:rPr>
          <w:b/>
          <w:i/>
          <w:sz w:val="24"/>
          <w:szCs w:val="24"/>
        </w:rPr>
        <w:t xml:space="preserve"> </w:t>
      </w:r>
      <w:r w:rsidR="00024D1C" w:rsidRPr="003267BB">
        <w:rPr>
          <w:b/>
          <w:i/>
          <w:sz w:val="24"/>
          <w:szCs w:val="24"/>
        </w:rPr>
        <w:t>Cell Dev Biol</w:t>
      </w:r>
      <w:r w:rsidR="00024D1C">
        <w:rPr>
          <w:b/>
          <w:i/>
          <w:sz w:val="24"/>
          <w:szCs w:val="24"/>
        </w:rPr>
        <w:t>,</w:t>
      </w:r>
      <w:r w:rsidR="00024D1C">
        <w:rPr>
          <w:sz w:val="24"/>
          <w:szCs w:val="24"/>
        </w:rPr>
        <w:t xml:space="preserve"> </w:t>
      </w:r>
      <w:r w:rsidRPr="00B24F75">
        <w:rPr>
          <w:sz w:val="24"/>
          <w:szCs w:val="24"/>
        </w:rPr>
        <w:t xml:space="preserve">2020; 8:325. </w:t>
      </w:r>
      <w:r w:rsidRPr="008F130D">
        <w:rPr>
          <w:b/>
          <w:bCs/>
          <w:sz w:val="24"/>
          <w:szCs w:val="24"/>
        </w:rPr>
        <w:t xml:space="preserve">(Impact factor: </w:t>
      </w:r>
      <w:r w:rsidR="002E7A02">
        <w:rPr>
          <w:b/>
          <w:bCs/>
          <w:sz w:val="24"/>
          <w:szCs w:val="24"/>
        </w:rPr>
        <w:t>6.081</w:t>
      </w:r>
      <w:r w:rsidRPr="008F130D">
        <w:rPr>
          <w:b/>
          <w:bCs/>
          <w:sz w:val="24"/>
          <w:szCs w:val="24"/>
        </w:rPr>
        <w:t>)</w:t>
      </w:r>
    </w:p>
    <w:p w14:paraId="4A660DF5" w14:textId="778F0C18" w:rsidR="008F130D" w:rsidRPr="00EA7D4A" w:rsidRDefault="008F130D" w:rsidP="008F130D">
      <w:pPr>
        <w:pStyle w:val="a3"/>
        <w:widowControl w:val="0"/>
        <w:numPr>
          <w:ilvl w:val="0"/>
          <w:numId w:val="2"/>
        </w:numPr>
        <w:adjustRightInd w:val="0"/>
        <w:spacing w:line="276" w:lineRule="auto"/>
        <w:contextualSpacing w:val="0"/>
        <w:jc w:val="both"/>
        <w:outlineLvl w:val="0"/>
        <w:rPr>
          <w:b/>
          <w:bCs/>
          <w:sz w:val="24"/>
          <w:szCs w:val="24"/>
        </w:rPr>
      </w:pPr>
      <w:r w:rsidRPr="003477D0">
        <w:rPr>
          <w:b/>
          <w:bCs/>
          <w:sz w:val="24"/>
          <w:szCs w:val="24"/>
          <w:u w:val="single"/>
        </w:rPr>
        <w:t>Zhang N</w:t>
      </w:r>
      <w:r w:rsidRPr="003477D0">
        <w:rPr>
          <w:sz w:val="24"/>
          <w:szCs w:val="24"/>
        </w:rPr>
        <w:t>, Yuan W, Fan JS, Lin Z</w:t>
      </w:r>
      <w:r>
        <w:rPr>
          <w:sz w:val="24"/>
          <w:szCs w:val="24"/>
        </w:rPr>
        <w:t>.</w:t>
      </w:r>
      <w:r w:rsidRPr="003477D0">
        <w:rPr>
          <w:sz w:val="24"/>
          <w:szCs w:val="24"/>
        </w:rPr>
        <w:t xml:space="preserve"> Structure of the C-terminal domain of TRADD reveals a novel fold in the death domain superfamily. </w:t>
      </w:r>
      <w:r w:rsidRPr="003477D0">
        <w:rPr>
          <w:b/>
          <w:bCs/>
          <w:i/>
          <w:iCs/>
          <w:sz w:val="24"/>
          <w:szCs w:val="24"/>
        </w:rPr>
        <w:t>Sci Rep</w:t>
      </w:r>
      <w:r>
        <w:rPr>
          <w:sz w:val="24"/>
          <w:szCs w:val="24"/>
        </w:rPr>
        <w:t xml:space="preserve"> 2017;</w:t>
      </w:r>
      <w:r w:rsidRPr="003477D0">
        <w:rPr>
          <w:sz w:val="24"/>
          <w:szCs w:val="24"/>
        </w:rPr>
        <w:t xml:space="preserve"> 7:7073.</w:t>
      </w:r>
      <w:r w:rsidRPr="00EA7D4A">
        <w:rPr>
          <w:b/>
          <w:bCs/>
          <w:sz w:val="24"/>
          <w:szCs w:val="24"/>
        </w:rPr>
        <w:t xml:space="preserve"> (Impact factor: </w:t>
      </w:r>
      <w:r w:rsidR="00EA7D4A" w:rsidRPr="00EA7D4A">
        <w:rPr>
          <w:b/>
          <w:bCs/>
          <w:sz w:val="24"/>
          <w:szCs w:val="24"/>
        </w:rPr>
        <w:t>4.</w:t>
      </w:r>
      <w:r w:rsidR="002E7A02">
        <w:rPr>
          <w:b/>
          <w:bCs/>
          <w:sz w:val="24"/>
          <w:szCs w:val="24"/>
        </w:rPr>
        <w:t>996</w:t>
      </w:r>
      <w:r w:rsidRPr="00EA7D4A">
        <w:rPr>
          <w:b/>
          <w:bCs/>
          <w:sz w:val="24"/>
          <w:szCs w:val="24"/>
        </w:rPr>
        <w:t>)</w:t>
      </w:r>
    </w:p>
    <w:p w14:paraId="296BC89E" w14:textId="77777777" w:rsidR="00582DD6" w:rsidRDefault="00582DD6" w:rsidP="00D05C6E">
      <w:pPr>
        <w:widowControl w:val="0"/>
        <w:adjustRightInd w:val="0"/>
        <w:spacing w:line="276" w:lineRule="auto"/>
        <w:jc w:val="both"/>
        <w:outlineLvl w:val="0"/>
        <w:rPr>
          <w:sz w:val="24"/>
          <w:szCs w:val="24"/>
        </w:rPr>
      </w:pPr>
    </w:p>
    <w:p w14:paraId="529F0018" w14:textId="6108FC27" w:rsidR="00D05C6E" w:rsidRDefault="00D05C6E" w:rsidP="00D05C6E">
      <w:pPr>
        <w:widowControl w:val="0"/>
        <w:adjustRightInd w:val="0"/>
        <w:spacing w:line="276" w:lineRule="auto"/>
        <w:jc w:val="both"/>
        <w:outlineLvl w:val="0"/>
        <w:rPr>
          <w:rFonts w:eastAsia="宋体"/>
          <w:b/>
          <w:bCs/>
          <w:sz w:val="24"/>
          <w:szCs w:val="24"/>
          <w:lang w:eastAsia="zh-CN"/>
        </w:rPr>
      </w:pPr>
      <w:r>
        <w:rPr>
          <w:rFonts w:eastAsia="宋体"/>
          <w:b/>
          <w:bCs/>
          <w:sz w:val="24"/>
          <w:szCs w:val="24"/>
          <w:lang w:eastAsia="zh-CN"/>
        </w:rPr>
        <w:t>Award</w:t>
      </w:r>
      <w:r w:rsidR="00024D1C">
        <w:rPr>
          <w:rFonts w:eastAsia="宋体"/>
          <w:b/>
          <w:bCs/>
          <w:sz w:val="24"/>
          <w:szCs w:val="24"/>
          <w:lang w:eastAsia="zh-CN"/>
        </w:rPr>
        <w:t>s</w:t>
      </w:r>
    </w:p>
    <w:p w14:paraId="4FB5FD26" w14:textId="3C973670" w:rsidR="00EA7D4A" w:rsidRDefault="00EA7D4A" w:rsidP="00EA7D4A">
      <w:pPr>
        <w:widowControl w:val="0"/>
        <w:numPr>
          <w:ilvl w:val="0"/>
          <w:numId w:val="6"/>
        </w:numPr>
        <w:autoSpaceDE/>
        <w:autoSpaceDN/>
        <w:spacing w:after="120"/>
        <w:jc w:val="both"/>
        <w:rPr>
          <w:sz w:val="24"/>
          <w:szCs w:val="24"/>
        </w:rPr>
      </w:pPr>
      <w:r w:rsidRPr="00EA7D4A">
        <w:rPr>
          <w:sz w:val="24"/>
          <w:szCs w:val="24"/>
        </w:rPr>
        <w:t>Best Investigator Award</w:t>
      </w:r>
      <w:r>
        <w:rPr>
          <w:sz w:val="24"/>
          <w:szCs w:val="24"/>
        </w:rPr>
        <w:t xml:space="preserve">. </w:t>
      </w:r>
      <w:r w:rsidRPr="00EA7D4A">
        <w:rPr>
          <w:b/>
          <w:bCs/>
          <w:sz w:val="24"/>
          <w:szCs w:val="24"/>
          <w:u w:val="single"/>
        </w:rPr>
        <w:t>Zhang N</w:t>
      </w:r>
      <w:r>
        <w:rPr>
          <w:sz w:val="24"/>
          <w:szCs w:val="24"/>
        </w:rPr>
        <w:t xml:space="preserve">. </w:t>
      </w:r>
      <w:r w:rsidRPr="00EA7D4A">
        <w:rPr>
          <w:sz w:val="24"/>
          <w:szCs w:val="24"/>
        </w:rPr>
        <w:t>International Conference on Aging Research in Chinese Medicine: Musculoskeletal and Neurological Degeneration and Repair</w:t>
      </w:r>
      <w:r>
        <w:rPr>
          <w:sz w:val="24"/>
          <w:szCs w:val="24"/>
        </w:rPr>
        <w:t>, 2021, Hong Kong, China</w:t>
      </w:r>
    </w:p>
    <w:p w14:paraId="132ACF51" w14:textId="2237BF63" w:rsidR="00EA7D4A" w:rsidRPr="00EA7D4A" w:rsidRDefault="00D05C6E" w:rsidP="00EA7D4A">
      <w:pPr>
        <w:widowControl w:val="0"/>
        <w:numPr>
          <w:ilvl w:val="0"/>
          <w:numId w:val="6"/>
        </w:numPr>
        <w:autoSpaceDE/>
        <w:autoSpaceDN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Best Presenter </w:t>
      </w:r>
      <w:r w:rsidRPr="00F21D3B">
        <w:rPr>
          <w:sz w:val="24"/>
          <w:szCs w:val="24"/>
        </w:rPr>
        <w:t>Award</w:t>
      </w:r>
      <w:r>
        <w:rPr>
          <w:sz w:val="24"/>
          <w:szCs w:val="24"/>
        </w:rPr>
        <w:t>.</w:t>
      </w:r>
      <w:r w:rsidRPr="00F232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Zhang N</w:t>
      </w:r>
      <w:r>
        <w:rPr>
          <w:sz w:val="24"/>
          <w:szCs w:val="24"/>
        </w:rPr>
        <w:t>.</w:t>
      </w:r>
      <w:r w:rsidRPr="00F21D3B">
        <w:rPr>
          <w:sz w:val="24"/>
          <w:szCs w:val="24"/>
        </w:rPr>
        <w:t xml:space="preserve"> </w:t>
      </w:r>
      <w:r>
        <w:rPr>
          <w:sz w:val="24"/>
          <w:szCs w:val="24"/>
        </w:rPr>
        <w:t>The Chinese University of Hong Kong, School of Chinese Medicine, Graduate Seminar Term 1, 2020-21, Hong Kong, China</w:t>
      </w:r>
      <w:r w:rsidRPr="00F21D3B">
        <w:rPr>
          <w:sz w:val="24"/>
          <w:szCs w:val="24"/>
        </w:rPr>
        <w:t>.</w:t>
      </w:r>
    </w:p>
    <w:p w14:paraId="137F8DBF" w14:textId="6BF79890" w:rsidR="00D05C6E" w:rsidRPr="00F23222" w:rsidRDefault="00D05C6E" w:rsidP="00D05C6E">
      <w:pPr>
        <w:widowControl w:val="0"/>
        <w:numPr>
          <w:ilvl w:val="0"/>
          <w:numId w:val="6"/>
        </w:numPr>
        <w:autoSpaceDE/>
        <w:autoSpaceDN/>
        <w:spacing w:after="120"/>
        <w:jc w:val="both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  <w:lang w:eastAsia="zh-CN"/>
        </w:rPr>
        <w:t>O</w:t>
      </w:r>
      <w:r>
        <w:rPr>
          <w:rFonts w:eastAsiaTheme="minorEastAsia"/>
          <w:sz w:val="24"/>
          <w:szCs w:val="24"/>
          <w:lang w:eastAsia="zh-CN"/>
        </w:rPr>
        <w:t>utstanding Graduate</w:t>
      </w:r>
      <w:r w:rsidR="00CA41B1">
        <w:rPr>
          <w:rFonts w:eastAsiaTheme="minorEastAsia"/>
          <w:sz w:val="24"/>
          <w:szCs w:val="24"/>
          <w:lang w:eastAsia="zh-CN"/>
        </w:rPr>
        <w:t xml:space="preserve">. </w:t>
      </w:r>
      <w:r w:rsidR="00CA41B1">
        <w:rPr>
          <w:b/>
          <w:sz w:val="24"/>
          <w:szCs w:val="24"/>
          <w:u w:val="single"/>
        </w:rPr>
        <w:t>Zhang N</w:t>
      </w:r>
      <w:r w:rsidR="00CA41B1">
        <w:rPr>
          <w:sz w:val="24"/>
          <w:szCs w:val="24"/>
        </w:rPr>
        <w:t>. Tianjin University, 2019, Tianjin, China</w:t>
      </w:r>
    </w:p>
    <w:p w14:paraId="11DE5A30" w14:textId="1872867F" w:rsidR="00B53779" w:rsidRPr="00A07B8A" w:rsidRDefault="00D05C6E" w:rsidP="00B53779">
      <w:pPr>
        <w:pStyle w:val="a3"/>
        <w:widowControl w:val="0"/>
        <w:numPr>
          <w:ilvl w:val="0"/>
          <w:numId w:val="6"/>
        </w:numPr>
        <w:adjustRightInd w:val="0"/>
        <w:spacing w:line="276" w:lineRule="auto"/>
        <w:contextualSpacing w:val="0"/>
        <w:jc w:val="both"/>
        <w:outlineLvl w:val="0"/>
        <w:rPr>
          <w:rFonts w:eastAsia="宋体"/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</w:rPr>
        <w:t xml:space="preserve">National Scholarship for </w:t>
      </w:r>
      <w:r w:rsidR="00CA41B1">
        <w:rPr>
          <w:bCs/>
          <w:sz w:val="24"/>
          <w:szCs w:val="24"/>
        </w:rPr>
        <w:t>Graduate</w:t>
      </w:r>
      <w:r>
        <w:rPr>
          <w:bCs/>
          <w:sz w:val="24"/>
          <w:szCs w:val="24"/>
        </w:rPr>
        <w:t xml:space="preserve"> Student</w:t>
      </w:r>
      <w:r w:rsidRPr="00255D9D">
        <w:rPr>
          <w:bCs/>
          <w:sz w:val="24"/>
          <w:szCs w:val="24"/>
        </w:rPr>
        <w:t xml:space="preserve">. </w:t>
      </w:r>
      <w:r w:rsidRPr="00255D9D">
        <w:rPr>
          <w:b/>
          <w:bCs/>
          <w:sz w:val="24"/>
          <w:szCs w:val="24"/>
          <w:u w:val="single"/>
        </w:rPr>
        <w:t xml:space="preserve">Zhang </w:t>
      </w:r>
      <w:r>
        <w:rPr>
          <w:b/>
          <w:bCs/>
          <w:sz w:val="24"/>
          <w:szCs w:val="24"/>
          <w:u w:val="single"/>
        </w:rPr>
        <w:t>N</w:t>
      </w:r>
      <w:r>
        <w:rPr>
          <w:bCs/>
          <w:sz w:val="24"/>
          <w:szCs w:val="24"/>
        </w:rPr>
        <w:t>.</w:t>
      </w:r>
      <w:r w:rsidRPr="00255D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Tianjin University, </w:t>
      </w:r>
      <w:r w:rsidRPr="00255D9D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7, Tianjin, China.</w:t>
      </w:r>
    </w:p>
    <w:sectPr w:rsidR="00B53779" w:rsidRPr="00A07B8A" w:rsidSect="00F93E6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A681" w14:textId="77777777" w:rsidR="00E755E1" w:rsidRDefault="00E755E1" w:rsidP="000C0482">
      <w:r>
        <w:separator/>
      </w:r>
    </w:p>
  </w:endnote>
  <w:endnote w:type="continuationSeparator" w:id="0">
    <w:p w14:paraId="7C57BC1A" w14:textId="77777777" w:rsidR="00E755E1" w:rsidRDefault="00E755E1" w:rsidP="000C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0CB6" w14:textId="77777777" w:rsidR="00E755E1" w:rsidRDefault="00E755E1" w:rsidP="000C0482">
      <w:r>
        <w:separator/>
      </w:r>
    </w:p>
  </w:footnote>
  <w:footnote w:type="continuationSeparator" w:id="0">
    <w:p w14:paraId="5D09A2AC" w14:textId="77777777" w:rsidR="00E755E1" w:rsidRDefault="00E755E1" w:rsidP="000C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94B"/>
    <w:multiLevelType w:val="hybridMultilevel"/>
    <w:tmpl w:val="9CBC5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16002C"/>
    <w:multiLevelType w:val="hybridMultilevel"/>
    <w:tmpl w:val="49862E58"/>
    <w:lvl w:ilvl="0" w:tplc="105AD4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5E62E3"/>
    <w:multiLevelType w:val="hybridMultilevel"/>
    <w:tmpl w:val="265CE352"/>
    <w:lvl w:ilvl="0" w:tplc="3D64A8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1130B3"/>
    <w:multiLevelType w:val="hybridMultilevel"/>
    <w:tmpl w:val="1BE68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F0226"/>
    <w:multiLevelType w:val="hybridMultilevel"/>
    <w:tmpl w:val="D03E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244CF"/>
    <w:multiLevelType w:val="hybridMultilevel"/>
    <w:tmpl w:val="DCA8BE52"/>
    <w:lvl w:ilvl="0" w:tplc="65FE29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62298"/>
    <w:multiLevelType w:val="hybridMultilevel"/>
    <w:tmpl w:val="BAC227DA"/>
    <w:lvl w:ilvl="0" w:tplc="9CCCE6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01002"/>
    <w:multiLevelType w:val="hybridMultilevel"/>
    <w:tmpl w:val="666001C6"/>
    <w:lvl w:ilvl="0" w:tplc="379A6054">
      <w:start w:val="1"/>
      <w:numFmt w:val="bullet"/>
      <w:lvlText w:val=""/>
      <w:lvlJc w:val="left"/>
      <w:pPr>
        <w:ind w:left="480" w:hanging="480"/>
      </w:pPr>
      <w:rPr>
        <w:rFonts w:ascii="Wingdings" w:eastAsia="Wingdings" w:hAnsi="Wingdings" w:hint="default"/>
        <w:w w:val="101"/>
        <w:sz w:val="23"/>
        <w:szCs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56096692">
    <w:abstractNumId w:val="0"/>
  </w:num>
  <w:num w:numId="2" w16cid:durableId="638921069">
    <w:abstractNumId w:val="1"/>
  </w:num>
  <w:num w:numId="3" w16cid:durableId="1155419146">
    <w:abstractNumId w:val="4"/>
  </w:num>
  <w:num w:numId="4" w16cid:durableId="622660535">
    <w:abstractNumId w:val="3"/>
  </w:num>
  <w:num w:numId="5" w16cid:durableId="136456015">
    <w:abstractNumId w:val="7"/>
  </w:num>
  <w:num w:numId="6" w16cid:durableId="1873688681">
    <w:abstractNumId w:val="5"/>
  </w:num>
  <w:num w:numId="7" w16cid:durableId="508065530">
    <w:abstractNumId w:val="6"/>
  </w:num>
  <w:num w:numId="8" w16cid:durableId="112095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97"/>
    <w:rsid w:val="000249DE"/>
    <w:rsid w:val="00024D1C"/>
    <w:rsid w:val="000874A4"/>
    <w:rsid w:val="000C0482"/>
    <w:rsid w:val="001108EF"/>
    <w:rsid w:val="00120D5E"/>
    <w:rsid w:val="00155FF3"/>
    <w:rsid w:val="0019396B"/>
    <w:rsid w:val="001A3F16"/>
    <w:rsid w:val="0023346E"/>
    <w:rsid w:val="00244202"/>
    <w:rsid w:val="00255D9D"/>
    <w:rsid w:val="00256B6E"/>
    <w:rsid w:val="002E7A02"/>
    <w:rsid w:val="003477D0"/>
    <w:rsid w:val="003F2C6E"/>
    <w:rsid w:val="004616F9"/>
    <w:rsid w:val="00491925"/>
    <w:rsid w:val="00493549"/>
    <w:rsid w:val="00565F49"/>
    <w:rsid w:val="0057749C"/>
    <w:rsid w:val="00582DD6"/>
    <w:rsid w:val="005C302C"/>
    <w:rsid w:val="005F3D47"/>
    <w:rsid w:val="005F4447"/>
    <w:rsid w:val="00660E98"/>
    <w:rsid w:val="0068659D"/>
    <w:rsid w:val="006A5724"/>
    <w:rsid w:val="006C1B2D"/>
    <w:rsid w:val="006C4B54"/>
    <w:rsid w:val="00710F32"/>
    <w:rsid w:val="00742DD0"/>
    <w:rsid w:val="00772997"/>
    <w:rsid w:val="00791051"/>
    <w:rsid w:val="007D6EB3"/>
    <w:rsid w:val="00835ACB"/>
    <w:rsid w:val="00870938"/>
    <w:rsid w:val="008F130D"/>
    <w:rsid w:val="008F7566"/>
    <w:rsid w:val="0095220F"/>
    <w:rsid w:val="0099716E"/>
    <w:rsid w:val="009A0E6D"/>
    <w:rsid w:val="009D665F"/>
    <w:rsid w:val="00A07B8A"/>
    <w:rsid w:val="00A7576D"/>
    <w:rsid w:val="00A96DE6"/>
    <w:rsid w:val="00AA54A3"/>
    <w:rsid w:val="00AE4B69"/>
    <w:rsid w:val="00B235BF"/>
    <w:rsid w:val="00B24F75"/>
    <w:rsid w:val="00B3070B"/>
    <w:rsid w:val="00B53779"/>
    <w:rsid w:val="00C16D2A"/>
    <w:rsid w:val="00C63F9C"/>
    <w:rsid w:val="00C954D7"/>
    <w:rsid w:val="00CA41B1"/>
    <w:rsid w:val="00CA4E13"/>
    <w:rsid w:val="00CA536D"/>
    <w:rsid w:val="00D0240A"/>
    <w:rsid w:val="00D05C6E"/>
    <w:rsid w:val="00D943A8"/>
    <w:rsid w:val="00DF4DEA"/>
    <w:rsid w:val="00E137A7"/>
    <w:rsid w:val="00E373B4"/>
    <w:rsid w:val="00E542F7"/>
    <w:rsid w:val="00E56D9D"/>
    <w:rsid w:val="00E635B5"/>
    <w:rsid w:val="00E755E1"/>
    <w:rsid w:val="00E80361"/>
    <w:rsid w:val="00E86AD4"/>
    <w:rsid w:val="00E9591D"/>
    <w:rsid w:val="00EA7D4A"/>
    <w:rsid w:val="00ED0310"/>
    <w:rsid w:val="00ED043B"/>
    <w:rsid w:val="00EF4577"/>
    <w:rsid w:val="00F23222"/>
    <w:rsid w:val="00F93E6F"/>
    <w:rsid w:val="00FA2F04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00036"/>
  <w15:docId w15:val="{AFF04217-4E67-4801-9C14-DD8C154E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97"/>
    <w:pPr>
      <w:autoSpaceDE w:val="0"/>
      <w:autoSpaceDN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2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ED0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482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0C0482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0C0482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0C0482"/>
    <w:rPr>
      <w:rFonts w:ascii="Times New Roman" w:eastAsia="PMingLiU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7F3C-1627-4AE2-ACFD-87C30C6D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Ning Zhang</cp:lastModifiedBy>
  <cp:revision>2</cp:revision>
  <dcterms:created xsi:type="dcterms:W3CDTF">2023-05-15T08:47:00Z</dcterms:created>
  <dcterms:modified xsi:type="dcterms:W3CDTF">2023-05-15T08:47:00Z</dcterms:modified>
</cp:coreProperties>
</file>